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16.10.1.0 -->
  <w:body>
    <w:p>
      <w:pPr>
        <w:pStyle w:val="Title"/>
      </w:pPr>
      <w:r>
        <w:rPr>
          <w:w w:val="95"/>
        </w:rPr>
        <w:t>多肽疫苗生产及质控技术指导原则</w:t>
      </w:r>
    </w:p>
    <w:p>
      <w:pPr>
        <w:pStyle w:val="BodyText"/>
        <w:rPr>
          <w:b/>
          <w:sz w:val="20"/>
        </w:rPr>
      </w:pPr>
    </w:p>
    <w:p>
      <w:pPr>
        <w:pStyle w:val="BodyText"/>
        <w:rPr>
          <w:b/>
          <w:sz w:val="20"/>
        </w:rPr>
      </w:pPr>
    </w:p>
    <w:p>
      <w:pPr>
        <w:pStyle w:val="BodyText"/>
        <w:spacing w:before="3"/>
        <w:rPr>
          <w:b/>
          <w:sz w:val="21"/>
        </w:rPr>
      </w:pPr>
    </w:p>
    <w:p>
      <w:pPr>
        <w:pStyle w:val="BodyText"/>
        <w:spacing w:before="49"/>
        <w:ind w:left="950"/>
      </w:pPr>
      <w:r>
        <w:t>前言</w:t>
      </w:r>
    </w:p>
    <w:p>
      <w:pPr>
        <w:pStyle w:val="BodyText"/>
        <w:spacing w:before="1"/>
        <w:rPr>
          <w:sz w:val="53"/>
        </w:rPr>
      </w:pPr>
    </w:p>
    <w:p>
      <w:pPr>
        <w:pStyle w:val="BodyText"/>
        <w:spacing w:line="350" w:lineRule="auto"/>
        <w:ind w:left="100" w:right="276" w:firstLine="849"/>
      </w:pPr>
      <w:r>
        <w:t>多肽疫苗是依据病原体抗原基因中已知或猜测的某段抗原表位的氨基酸序列,</w:t>
      </w:r>
      <w:r>
        <w:rPr>
          <w:spacing w:val="-177"/>
        </w:rPr>
        <w:t xml:space="preserve"> </w:t>
      </w:r>
      <w:r>
        <w:t>经过化学合成技术制备的疫苗。传统疫苗一般由两种方式制备,一种为能诱发免疫</w:t>
      </w:r>
      <w:r>
        <w:rPr>
          <w:spacing w:val="-1"/>
        </w:rPr>
        <w:t>力却不致病的减毒疫苗,例如黄热病、脊髓灰质炎和麻疹疫苗或卡介苗;另一种为灭</w:t>
      </w:r>
      <w:r>
        <w:t>活疫苗(例如百日咳杆菌、狂犬病毒、伤寒杆菌)。多肽疫苗由于彻底是合成的,不</w:t>
      </w:r>
      <w:r>
        <w:rPr>
          <w:spacing w:val="-1"/>
        </w:rPr>
        <w:t>存在毒力回升或灭活不全的问题。格外是一些还不能经过体外培育方式获得足够量</w:t>
      </w:r>
      <w:r>
        <w:t>的抗原的微生物病原体。有些虽能进行体外培育,但这些病原体有潜在致病性和免</w:t>
      </w:r>
      <w:r>
        <w:rPr>
          <w:spacing w:val="-1"/>
        </w:rPr>
        <w:t>疫病理作用等涉及安全性与有效性的问题。多肽作为体内引起效应细胞免疫应答形</w:t>
      </w:r>
      <w:r>
        <w:t>成的免疫原,将成为一种新型的疫苗,但还有许多理论和技术问题要继续研究,目前尚无多肽疫苗获准上市。因此,应实行适当可行的途径对这种潜能疫苗进行生产及</w:t>
      </w:r>
      <w:r>
        <w:rPr>
          <w:spacing w:val="-1"/>
        </w:rPr>
        <w:t>质控,并在其生产经过中积累阅历,为此,应加强咨询和论证,以便提出一个确保安全</w:t>
      </w:r>
      <w:r>
        <w:t>有效而又适宜实际的申报资料。同时,对每个方案中各个阶段的操作经过、中间及最后产品的制备,务必制定标准操作规程和质控标准,并予严格实施。</w:t>
      </w:r>
    </w:p>
    <w:p>
      <w:pPr>
        <w:pStyle w:val="BodyText"/>
        <w:spacing w:before="2"/>
        <w:rPr>
          <w:sz w:val="38"/>
        </w:rPr>
      </w:pPr>
    </w:p>
    <w:p>
      <w:pPr>
        <w:pStyle w:val="BodyText"/>
        <w:ind w:left="950"/>
      </w:pPr>
      <w:r>
        <w:t>一、多肽疫苗的化学合成</w:t>
      </w:r>
    </w:p>
    <w:p>
      <w:pPr>
        <w:pStyle w:val="BodyText"/>
        <w:rPr>
          <w:sz w:val="53"/>
        </w:rPr>
      </w:pPr>
    </w:p>
    <w:p>
      <w:pPr>
        <w:pStyle w:val="BodyText"/>
        <w:spacing w:before="1" w:line="350" w:lineRule="auto"/>
        <w:ind w:left="100" w:right="505" w:firstLine="849"/>
      </w:pPr>
      <w:r>
        <w:rPr>
          <w:spacing w:val="-1"/>
        </w:rPr>
        <w:t>首先应该确定天然抗原的氨基酸序列,选择和确定查找有效肽段的方式,并查找</w:t>
      </w:r>
      <w:r>
        <w:t>该肽段所针对的抗原决定簇。</w:t>
      </w:r>
    </w:p>
    <w:p>
      <w:pPr>
        <w:pStyle w:val="BodyText"/>
        <w:spacing w:before="6"/>
      </w:pPr>
    </w:p>
    <w:p>
      <w:pPr>
        <w:pStyle w:val="BodyText"/>
        <w:spacing w:line="352" w:lineRule="auto"/>
        <w:ind w:left="100" w:right="276" w:firstLine="849"/>
      </w:pPr>
      <w:r>
        <w:t>其次应选择合适的合成方式。合成中等大小的多肽也会涉及众多反应,每加入</w:t>
      </w:r>
      <w:r>
        <w:rPr>
          <w:spacing w:val="-6"/>
        </w:rPr>
        <w:t xml:space="preserve">一个氨基酸需多次反应,在一个氨基酸的 </w:t>
      </w:r>
      <w:r>
        <w:t>α</w:t>
      </w:r>
      <w:r>
        <w:rPr>
          <w:spacing w:val="-10"/>
        </w:rPr>
        <w:t xml:space="preserve"> 氨基与另一个氨基酸的羧基缩合形成肽</w:t>
      </w:r>
      <w:r>
        <w:t>链之前,必需使其中一个形成高反应的活化状态,这个选择自然落到羧基上,合成因</w:t>
      </w:r>
      <w:r>
        <w:rPr>
          <w:spacing w:val="-31"/>
        </w:rPr>
        <w:t xml:space="preserve">而从 </w:t>
      </w:r>
      <w:r>
        <w:t>C</w:t>
      </w:r>
      <w:r>
        <w:rPr>
          <w:spacing w:val="-60"/>
        </w:rPr>
        <w:t xml:space="preserve"> 到 </w:t>
      </w:r>
      <w:r>
        <w:t>N</w:t>
      </w:r>
      <w:r>
        <w:rPr>
          <w:spacing w:val="-31"/>
        </w:rPr>
        <w:t xml:space="preserve"> 端。假若 </w:t>
      </w:r>
      <w:r>
        <w:t>A</w:t>
      </w:r>
    </w:p>
    <w:p>
      <w:pPr>
        <w:pStyle w:val="BodyText"/>
        <w:spacing w:before="8"/>
        <w:rPr>
          <w:sz w:val="35"/>
        </w:rPr>
      </w:pPr>
    </w:p>
    <w:p>
      <w:pPr>
        <w:pStyle w:val="BodyText"/>
        <w:spacing w:line="350" w:lineRule="auto"/>
        <w:ind w:left="100" w:right="277" w:firstLine="849"/>
      </w:pPr>
      <w:r>
        <w:rPr>
          <w:spacing w:val="-11"/>
          <w:w w:val="95"/>
        </w:rPr>
        <w:t xml:space="preserve">氨基酸的 </w:t>
      </w:r>
      <w:r>
        <w:rPr>
          <w:w w:val="95"/>
        </w:rPr>
        <w:t>C</w:t>
      </w:r>
      <w:r>
        <w:rPr>
          <w:spacing w:val="-27"/>
          <w:w w:val="95"/>
        </w:rPr>
        <w:t xml:space="preserve"> 端与 </w:t>
      </w:r>
      <w:r>
        <w:rPr>
          <w:w w:val="95"/>
        </w:rPr>
        <w:t>B</w:t>
      </w:r>
      <w:r>
        <w:rPr>
          <w:spacing w:val="-19"/>
          <w:w w:val="95"/>
        </w:rPr>
        <w:t xml:space="preserve"> 氨基酸的 </w:t>
      </w:r>
      <w:r>
        <w:rPr>
          <w:w w:val="95"/>
        </w:rPr>
        <w:t>N</w:t>
      </w:r>
      <w:r>
        <w:rPr>
          <w:spacing w:val="-17"/>
          <w:w w:val="95"/>
        </w:rPr>
        <w:t xml:space="preserve"> 端缩合产生 </w:t>
      </w:r>
      <w:r>
        <w:rPr>
          <w:w w:val="95"/>
        </w:rPr>
        <w:t>2</w:t>
      </w:r>
      <w:r>
        <w:rPr>
          <w:spacing w:val="-36"/>
          <w:w w:val="95"/>
        </w:rPr>
        <w:t xml:space="preserve"> 肽 </w:t>
      </w:r>
      <w:r>
        <w:rPr>
          <w:w w:val="95"/>
        </w:rPr>
        <w:t>A-B,</w:t>
      </w:r>
      <w:r>
        <w:rPr>
          <w:spacing w:val="-27"/>
          <w:w w:val="95"/>
        </w:rPr>
        <w:t xml:space="preserve">则 </w:t>
      </w:r>
      <w:r>
        <w:rPr>
          <w:w w:val="95"/>
        </w:rPr>
        <w:t>A</w:t>
      </w:r>
      <w:r>
        <w:rPr>
          <w:spacing w:val="-36"/>
          <w:w w:val="95"/>
        </w:rPr>
        <w:t xml:space="preserve"> 的 </w:t>
      </w:r>
      <w:r>
        <w:rPr>
          <w:w w:val="95"/>
        </w:rPr>
        <w:t>N</w:t>
      </w:r>
      <w:r>
        <w:rPr>
          <w:spacing w:val="-27"/>
          <w:w w:val="95"/>
        </w:rPr>
        <w:t xml:space="preserve"> 端及 </w:t>
      </w:r>
      <w:r>
        <w:rPr>
          <w:w w:val="95"/>
        </w:rPr>
        <w:t>B</w:t>
      </w:r>
      <w:r>
        <w:rPr>
          <w:spacing w:val="-36"/>
          <w:w w:val="95"/>
        </w:rPr>
        <w:t xml:space="preserve"> 的 </w:t>
      </w:r>
      <w:r>
        <w:rPr>
          <w:w w:val="95"/>
        </w:rPr>
        <w:t>C</w:t>
      </w:r>
      <w:r>
        <w:rPr>
          <w:spacing w:val="-18"/>
          <w:w w:val="95"/>
        </w:rPr>
        <w:t xml:space="preserve"> 端必需</w:t>
      </w:r>
      <w:r>
        <w:rPr>
          <w:spacing w:val="2"/>
          <w:w w:val="95"/>
        </w:rPr>
        <w:t xml:space="preserve">保护起来,才能转化成在 </w:t>
      </w:r>
      <w:r>
        <w:rPr>
          <w:w w:val="95"/>
        </w:rPr>
        <w:t>A-B</w:t>
      </w:r>
      <w:r>
        <w:rPr>
          <w:spacing w:val="188"/>
        </w:rPr>
        <w:t xml:space="preserve"> </w:t>
      </w:r>
      <w:r>
        <w:rPr>
          <w:w w:val="95"/>
        </w:rPr>
        <w:t>之间形成特异性肽的形式。此外,氨基肽的侧链基团</w:t>
      </w:r>
      <w:r>
        <w:t>也能与活化羧基反应,因此也必需保护起来。这些侧链保护基团必需能耐受除去</w:t>
      </w:r>
    </w:p>
    <w:p>
      <w:pPr>
        <w:spacing w:after="0" w:line="350" w:lineRule="auto"/>
        <w:sectPr>
          <w:type w:val="continuous"/>
          <w:pgSz w:w="18360" w:h="23760"/>
          <w:pgMar w:top="1700" w:right="2420" w:bottom="280" w:left="2600" w:header="708" w:footer="708"/>
          <w:cols w:space="708"/>
        </w:sectPr>
      </w:pPr>
    </w:p>
    <w:p>
      <w:pPr>
        <w:pStyle w:val="BodyText"/>
        <w:spacing w:before="23" w:line="350" w:lineRule="auto"/>
        <w:ind w:left="100" w:right="276"/>
        <w:jc w:val="both"/>
      </w:pPr>
      <w:r>
        <w:rPr>
          <w:spacing w:val="-1"/>
        </w:rPr>
        <w:t>α-氨基保护基团的条件,这样才能生成新的氨基基团使肽链得以继续延长。合成结束后必需除去所有的保护性基团以得到所需的多肽。多肽的合成循环包括了一系列</w:t>
      </w:r>
      <w:r>
        <w:t>的反应,每一循环生成一个新肽键。</w:t>
      </w:r>
    </w:p>
    <w:p>
      <w:pPr>
        <w:pStyle w:val="BodyText"/>
        <w:spacing w:before="10"/>
      </w:pPr>
    </w:p>
    <w:p>
      <w:pPr>
        <w:pStyle w:val="BodyText"/>
        <w:spacing w:line="350" w:lineRule="auto"/>
        <w:ind w:left="100" w:right="596" w:firstLine="849"/>
      </w:pPr>
      <w:r>
        <w:rPr>
          <w:w w:val="95"/>
        </w:rPr>
        <w:t>主要有两个合成策略:片段浓缩法和固相合成法(merrifield</w:t>
      </w:r>
      <w:r>
        <w:rPr>
          <w:spacing w:val="206"/>
        </w:rPr>
        <w:t xml:space="preserve"> </w:t>
      </w:r>
      <w:r>
        <w:rPr>
          <w:w w:val="95"/>
        </w:rPr>
        <w:t>法)。片段浓缩</w:t>
      </w:r>
      <w:r>
        <w:t>法是经典的</w:t>
      </w:r>
    </w:p>
    <w:p>
      <w:pPr>
        <w:pStyle w:val="BodyText"/>
        <w:spacing w:before="6"/>
      </w:pPr>
    </w:p>
    <w:p>
      <w:pPr>
        <w:pStyle w:val="BodyText"/>
        <w:spacing w:line="352" w:lineRule="auto"/>
        <w:ind w:left="100" w:right="505" w:firstLine="849"/>
      </w:pPr>
      <w:r>
        <w:rPr>
          <w:spacing w:val="-1"/>
        </w:rPr>
        <w:t>合成技术。首先合成数条小肽,经纯化和去保护后结合成较长的肽,直到最后</w:t>
      </w:r>
      <w:r>
        <w:t>所需的序列。</w:t>
      </w:r>
    </w:p>
    <w:p>
      <w:pPr>
        <w:pStyle w:val="BodyText"/>
        <w:spacing w:before="2"/>
      </w:pPr>
    </w:p>
    <w:p>
      <w:pPr>
        <w:pStyle w:val="BodyText"/>
        <w:spacing w:line="352" w:lineRule="auto"/>
        <w:ind w:left="100" w:right="415" w:firstLine="849"/>
      </w:pPr>
      <w:r>
        <w:rPr>
          <w:spacing w:val="-5"/>
        </w:rPr>
        <w:t xml:space="preserve">在固相合成法是将肽链一端结合于固相载体上的方式。经过在 </w:t>
      </w:r>
      <w:r>
        <w:t>N-末端逐步加上氨基酸的方式合成肽段。</w:t>
      </w:r>
    </w:p>
    <w:p>
      <w:pPr>
        <w:pStyle w:val="BodyText"/>
      </w:pPr>
    </w:p>
    <w:p>
      <w:pPr>
        <w:pStyle w:val="BodyText"/>
        <w:spacing w:before="1" w:line="350" w:lineRule="auto"/>
        <w:ind w:left="100" w:right="276" w:firstLine="849"/>
      </w:pPr>
      <w:r>
        <w:t>另外也引入一些新进展包括改良的保护基因、新的固相载体、脱保护及侧链</w:t>
      </w:r>
      <w:r>
        <w:rPr>
          <w:spacing w:val="-1"/>
        </w:rPr>
        <w:t>功基保护等新方式。在疫苗合成领域中,由于肽链联接或装配到需要的结构</w:t>
      </w:r>
      <w:r>
        <w:t>(TADPs)</w:t>
      </w:r>
      <w:r>
        <w:rPr>
          <w:spacing w:val="-177"/>
        </w:rPr>
        <w:t xml:space="preserve"> </w:t>
      </w:r>
      <w:r>
        <w:rPr>
          <w:spacing w:val="-1"/>
        </w:rPr>
        <w:t>及免疫原性构架</w:t>
      </w:r>
      <w:r>
        <w:t>(MAPs)所用技术的引进,加上肽链经脂质或碳水化合物的修饰作用,</w:t>
      </w:r>
      <w:r>
        <w:rPr>
          <w:spacing w:val="-177"/>
        </w:rPr>
        <w:t xml:space="preserve"> </w:t>
      </w:r>
      <w:r>
        <w:t>使得合成问题变得更加复杂。目前多应用固相法,格外是在选择和确定有效抗原表位研究方面,是合成多肽疫苗的一条可供选择的途径。</w:t>
      </w:r>
    </w:p>
    <w:p>
      <w:pPr>
        <w:pStyle w:val="BodyText"/>
        <w:rPr>
          <w:sz w:val="37"/>
        </w:rPr>
      </w:pPr>
    </w:p>
    <w:p>
      <w:pPr>
        <w:pStyle w:val="BodyText"/>
        <w:ind w:left="950"/>
      </w:pPr>
      <w:r>
        <w:t>二、多肽疫苗的生产工艺及质控</w:t>
      </w:r>
    </w:p>
    <w:p>
      <w:pPr>
        <w:pStyle w:val="BodyText"/>
        <w:spacing w:before="1"/>
        <w:rPr>
          <w:sz w:val="53"/>
        </w:rPr>
      </w:pPr>
    </w:p>
    <w:p>
      <w:pPr>
        <w:pStyle w:val="BodyText"/>
        <w:spacing w:line="350" w:lineRule="auto"/>
        <w:ind w:left="100" w:right="328" w:firstLine="849"/>
      </w:pPr>
      <w:r>
        <w:rPr>
          <w:spacing w:val="-1"/>
        </w:rPr>
        <w:t>(一)应提供研制某一疫苗的详细资料,包括选择特定抗原决定簇的理由、对抗</w:t>
      </w:r>
      <w:r>
        <w:t>原决定簇的检定,以及对载体、表位连接、结合剂、肽的呈递方式及佐剂等的选择理由及其相应证据。</w:t>
      </w:r>
    </w:p>
    <w:p>
      <w:pPr>
        <w:pStyle w:val="BodyText"/>
        <w:spacing w:before="11"/>
      </w:pPr>
    </w:p>
    <w:p>
      <w:pPr>
        <w:pStyle w:val="BodyText"/>
        <w:spacing w:line="350" w:lineRule="auto"/>
        <w:ind w:left="100" w:right="276" w:firstLine="849"/>
        <w:jc w:val="both"/>
      </w:pPr>
      <w:r>
        <w:t>(二)应说明每条肽段所针对的抗原表位。内容包括对每个表位来源的说明,当</w:t>
      </w:r>
      <w:r>
        <w:rPr>
          <w:spacing w:val="-1"/>
        </w:rPr>
        <w:t>不止一个表位时,应说明把不同表位相互结合到一个已知序列内的理由,此外还应对</w:t>
      </w:r>
      <w:r>
        <w:t>表位的类型(B、Th、Tc</w:t>
      </w:r>
      <w:r>
        <w:rPr>
          <w:spacing w:val="-10"/>
        </w:rPr>
        <w:t xml:space="preserve"> 等)及格外组合方式进行说明。</w:t>
      </w:r>
    </w:p>
    <w:p>
      <w:pPr>
        <w:pStyle w:val="BodyText"/>
        <w:rPr>
          <w:sz w:val="37"/>
        </w:rPr>
      </w:pPr>
    </w:p>
    <w:p>
      <w:pPr>
        <w:pStyle w:val="BodyText"/>
        <w:spacing w:line="350" w:lineRule="auto"/>
        <w:ind w:left="100" w:right="326" w:firstLine="849"/>
      </w:pPr>
      <w:r>
        <w:rPr>
          <w:spacing w:val="-1"/>
        </w:rPr>
        <w:t>(三)应当提供肽链合成的详细资料。内容包括:原料的来源和特性、使用的方式</w:t>
      </w:r>
      <w:r>
        <w:t>学、氨基酸的连接和脱保护,进入下一步连接的推断标准,任何加入的修饰基团</w:t>
      </w:r>
    </w:p>
    <w:p>
      <w:pPr>
        <w:spacing w:after="0" w:line="350" w:lineRule="auto"/>
        <w:sectPr>
          <w:pgSz w:w="18360" w:h="23760"/>
          <w:pgMar w:top="2040" w:right="2420" w:bottom="280" w:left="2600" w:header="708" w:footer="708"/>
          <w:cols w:space="708"/>
        </w:sectPr>
      </w:pPr>
    </w:p>
    <w:p>
      <w:pPr>
        <w:pStyle w:val="BodyText"/>
        <w:spacing w:before="23" w:line="350" w:lineRule="auto"/>
        <w:ind w:left="100" w:right="277"/>
      </w:pPr>
      <w:r>
        <w:rPr>
          <w:spacing w:val="-1"/>
        </w:rPr>
        <w:t>(例如糖基化,脂质化)的详细情况。假若采纳了液体合成法,应当提供包括对中间体</w:t>
      </w:r>
      <w:r>
        <w:t>有格外说明的流程图。</w:t>
      </w:r>
    </w:p>
    <w:p>
      <w:pPr>
        <w:pStyle w:val="BodyText"/>
        <w:spacing w:before="7"/>
      </w:pPr>
    </w:p>
    <w:p>
      <w:pPr>
        <w:pStyle w:val="BodyText"/>
        <w:ind w:left="950"/>
      </w:pPr>
      <w:r>
        <w:t>(四)假若肽单体为中间产物,应当对其分离鉴定并提供下述确证依据。</w:t>
      </w:r>
    </w:p>
    <w:p>
      <w:pPr>
        <w:pStyle w:val="BodyText"/>
        <w:rPr>
          <w:sz w:val="53"/>
        </w:rPr>
      </w:pPr>
    </w:p>
    <w:p>
      <w:pPr>
        <w:pStyle w:val="ListParagraph"/>
        <w:numPr>
          <w:ilvl w:val="0"/>
          <w:numId w:val="2"/>
        </w:numPr>
        <w:tabs>
          <w:tab w:val="left" w:pos="1312"/>
        </w:tabs>
        <w:spacing w:before="1" w:after="0" w:line="352" w:lineRule="auto"/>
        <w:ind w:left="100" w:right="685" w:firstLine="849"/>
        <w:jc w:val="left"/>
        <w:rPr>
          <w:sz w:val="36"/>
        </w:rPr>
      </w:pPr>
      <w:r>
        <w:rPr>
          <w:spacing w:val="-1"/>
          <w:sz w:val="36"/>
        </w:rPr>
        <w:t>主要肽挨次与预期的结构相同,例如,目标氨基酸按需要的挨次排列;修饰</w:t>
      </w:r>
      <w:r>
        <w:rPr>
          <w:sz w:val="36"/>
        </w:rPr>
        <w:t>(脂化及糖基化)情况;</w:t>
      </w:r>
    </w:p>
    <w:p>
      <w:pPr>
        <w:pStyle w:val="BodyText"/>
      </w:pPr>
    </w:p>
    <w:p>
      <w:pPr>
        <w:pStyle w:val="ListParagraph"/>
        <w:numPr>
          <w:ilvl w:val="0"/>
          <w:numId w:val="2"/>
        </w:numPr>
        <w:tabs>
          <w:tab w:val="left" w:pos="1312"/>
        </w:tabs>
        <w:spacing w:before="0" w:after="0" w:line="350" w:lineRule="auto"/>
        <w:ind w:left="100" w:right="455" w:firstLine="849"/>
        <w:jc w:val="both"/>
        <w:rPr>
          <w:sz w:val="36"/>
        </w:rPr>
      </w:pPr>
      <w:r>
        <w:rPr>
          <w:sz w:val="36"/>
        </w:rPr>
        <w:t>对肽单体中的主要杂质(可能情况下对次要杂质)应分离鉴定。验证纯度时</w:t>
      </w:r>
      <w:r>
        <w:rPr>
          <w:spacing w:val="-1"/>
          <w:sz w:val="36"/>
        </w:rPr>
        <w:t>应采纳多种技术对其理化特性尽可能多地检查,格外要着重检测生产或纯化经过中</w:t>
      </w:r>
      <w:r>
        <w:rPr>
          <w:sz w:val="36"/>
        </w:rPr>
        <w:t>可能加入的物质;</w:t>
      </w:r>
    </w:p>
    <w:p>
      <w:pPr>
        <w:pStyle w:val="BodyText"/>
        <w:spacing w:before="11"/>
      </w:pPr>
    </w:p>
    <w:p>
      <w:pPr>
        <w:pStyle w:val="ListParagraph"/>
        <w:numPr>
          <w:ilvl w:val="0"/>
          <w:numId w:val="2"/>
        </w:numPr>
        <w:tabs>
          <w:tab w:val="left" w:pos="1312"/>
        </w:tabs>
        <w:spacing w:before="0" w:after="0" w:line="240" w:lineRule="auto"/>
        <w:ind w:left="1311" w:right="0" w:hanging="362"/>
        <w:jc w:val="left"/>
        <w:rPr>
          <w:sz w:val="36"/>
        </w:rPr>
      </w:pPr>
      <w:r>
        <w:rPr>
          <w:sz w:val="36"/>
        </w:rPr>
        <w:t>连续多批产品的肽质量应保持全都。</w:t>
      </w:r>
    </w:p>
    <w:p>
      <w:pPr>
        <w:pStyle w:val="BodyText"/>
        <w:spacing w:before="1"/>
        <w:rPr>
          <w:sz w:val="53"/>
        </w:rPr>
      </w:pPr>
    </w:p>
    <w:p>
      <w:pPr>
        <w:pStyle w:val="BodyText"/>
        <w:spacing w:line="352" w:lineRule="auto"/>
        <w:ind w:left="100" w:right="507" w:firstLine="849"/>
      </w:pPr>
      <w:r>
        <w:rPr>
          <w:spacing w:val="-1"/>
        </w:rPr>
        <w:t>(五)对肽单体或肽衍生物应建立适当的标准。对肽的纯度、总杂质、每种主</w:t>
      </w:r>
      <w:r>
        <w:t>要及次要杂质都应规定限度要求。</w:t>
      </w:r>
    </w:p>
    <w:p>
      <w:pPr>
        <w:pStyle w:val="BodyText"/>
        <w:spacing w:before="1"/>
      </w:pPr>
    </w:p>
    <w:p>
      <w:pPr>
        <w:pStyle w:val="BodyText"/>
        <w:spacing w:line="592" w:lineRule="auto"/>
        <w:ind w:left="950" w:right="3568"/>
      </w:pPr>
      <w:r>
        <w:rPr>
          <w:spacing w:val="-1"/>
        </w:rPr>
        <w:t>(六)假若不能对肽单体进行全面鉴定,应提供相应说明。</w:t>
      </w:r>
      <w:r>
        <w:t>(七)应对肽的稳定性进行评价,并制定适当的贮存期。</w:t>
      </w:r>
    </w:p>
    <w:p>
      <w:pPr>
        <w:pStyle w:val="BodyText"/>
        <w:spacing w:before="7"/>
        <w:ind w:left="950"/>
      </w:pPr>
      <w:r>
        <w:t>(八)偶联物</w:t>
      </w:r>
    </w:p>
    <w:p>
      <w:pPr>
        <w:pStyle w:val="BodyText"/>
        <w:spacing w:before="1"/>
        <w:rPr>
          <w:sz w:val="53"/>
        </w:rPr>
      </w:pPr>
    </w:p>
    <w:p>
      <w:pPr>
        <w:pStyle w:val="BodyText"/>
        <w:ind w:left="950"/>
      </w:pPr>
      <w:r>
        <w:t>偶联物中多肽及其它成分除了达到适当的要求外,还应符合下列规定:</w:t>
      </w:r>
    </w:p>
    <w:p>
      <w:pPr>
        <w:pStyle w:val="BodyText"/>
        <w:spacing w:before="1"/>
        <w:rPr>
          <w:sz w:val="53"/>
        </w:rPr>
      </w:pPr>
    </w:p>
    <w:p>
      <w:pPr>
        <w:pStyle w:val="ListParagraph"/>
        <w:numPr>
          <w:ilvl w:val="0"/>
          <w:numId w:val="1"/>
        </w:numPr>
        <w:tabs>
          <w:tab w:val="left" w:pos="1312"/>
        </w:tabs>
        <w:spacing w:before="0" w:after="0" w:line="350" w:lineRule="auto"/>
        <w:ind w:left="100" w:right="506" w:firstLine="849"/>
        <w:jc w:val="left"/>
        <w:rPr>
          <w:sz w:val="36"/>
        </w:rPr>
      </w:pPr>
      <w:r>
        <w:rPr>
          <w:spacing w:val="-1"/>
          <w:sz w:val="36"/>
        </w:rPr>
        <w:t>对偶联物进行验证,其含量应能重复并保持全都,当不止一种肽结合到同一</w:t>
      </w:r>
      <w:r>
        <w:rPr>
          <w:sz w:val="36"/>
        </w:rPr>
        <w:t>载体上时,应对每一种肽所占比例进行控制并能重复制备;</w:t>
      </w:r>
    </w:p>
    <w:p>
      <w:pPr>
        <w:pStyle w:val="BodyText"/>
        <w:spacing w:before="11"/>
      </w:pPr>
    </w:p>
    <w:p>
      <w:pPr>
        <w:pStyle w:val="ListParagraph"/>
        <w:numPr>
          <w:ilvl w:val="0"/>
          <w:numId w:val="1"/>
        </w:numPr>
        <w:tabs>
          <w:tab w:val="left" w:pos="1312"/>
        </w:tabs>
        <w:spacing w:before="0" w:after="0" w:line="350" w:lineRule="auto"/>
        <w:ind w:left="100" w:right="326" w:firstLine="849"/>
        <w:jc w:val="left"/>
        <w:rPr>
          <w:sz w:val="36"/>
        </w:rPr>
      </w:pPr>
      <w:r>
        <w:rPr>
          <w:spacing w:val="-1"/>
          <w:sz w:val="36"/>
        </w:rPr>
        <w:t>最大限度降低副反应并控制到能重复的水平,这些副反应包括载体之间的交</w:t>
      </w:r>
      <w:r>
        <w:rPr>
          <w:sz w:val="36"/>
        </w:rPr>
        <w:t>联,载体表面浓缩的未结合的偶联剂,以及对未参加结合的偶联剂的灭活等;</w:t>
      </w:r>
    </w:p>
    <w:p>
      <w:pPr>
        <w:pStyle w:val="BodyText"/>
        <w:spacing w:before="6"/>
      </w:pPr>
    </w:p>
    <w:p>
      <w:pPr>
        <w:pStyle w:val="ListParagraph"/>
        <w:numPr>
          <w:ilvl w:val="0"/>
          <w:numId w:val="1"/>
        </w:numPr>
        <w:tabs>
          <w:tab w:val="left" w:pos="1312"/>
        </w:tabs>
        <w:spacing w:before="0" w:after="0" w:line="240" w:lineRule="auto"/>
        <w:ind w:left="1311" w:right="0" w:hanging="362"/>
        <w:jc w:val="left"/>
        <w:rPr>
          <w:sz w:val="36"/>
        </w:rPr>
      </w:pPr>
      <w:r>
        <w:rPr>
          <w:sz w:val="36"/>
        </w:rPr>
        <w:t>有证据表明偶联物未转变抗原序列;</w:t>
      </w:r>
    </w:p>
    <w:p>
      <w:pPr>
        <w:spacing w:after="0" w:line="240" w:lineRule="auto"/>
        <w:jc w:val="left"/>
        <w:rPr>
          <w:sz w:val="36"/>
        </w:rPr>
        <w:sectPr>
          <w:pgSz w:w="18360" w:h="23760"/>
          <w:pgMar w:top="2040" w:right="2420" w:bottom="280" w:left="2600" w:header="708" w:footer="708"/>
          <w:cols w:space="708"/>
        </w:sectPr>
      </w:pPr>
    </w:p>
    <w:p>
      <w:pPr>
        <w:pStyle w:val="BodyText"/>
        <w:spacing w:before="12"/>
        <w:rPr>
          <w:sz w:val="13"/>
        </w:rPr>
      </w:pPr>
    </w:p>
    <w:p>
      <w:pPr>
        <w:pStyle w:val="ListParagraph"/>
        <w:numPr>
          <w:ilvl w:val="0"/>
          <w:numId w:val="1"/>
        </w:numPr>
        <w:tabs>
          <w:tab w:val="left" w:pos="1312"/>
        </w:tabs>
        <w:spacing w:before="49" w:after="0" w:line="240" w:lineRule="auto"/>
        <w:ind w:left="1311" w:right="0" w:hanging="362"/>
        <w:jc w:val="left"/>
        <w:rPr>
          <w:sz w:val="36"/>
        </w:rPr>
      </w:pPr>
      <w:r>
        <w:rPr>
          <w:sz w:val="36"/>
        </w:rPr>
        <w:t>应当考虑机体对载体蛋白或其诱导免疫反应的潜在临床影响;</w:t>
      </w:r>
    </w:p>
    <w:p>
      <w:pPr>
        <w:pStyle w:val="BodyText"/>
        <w:spacing w:before="1"/>
        <w:rPr>
          <w:sz w:val="53"/>
        </w:rPr>
      </w:pPr>
    </w:p>
    <w:p>
      <w:pPr>
        <w:pStyle w:val="ListParagraph"/>
        <w:numPr>
          <w:ilvl w:val="0"/>
          <w:numId w:val="1"/>
        </w:numPr>
        <w:tabs>
          <w:tab w:val="left" w:pos="1312"/>
        </w:tabs>
        <w:spacing w:before="0" w:after="0" w:line="352" w:lineRule="auto"/>
        <w:ind w:left="100" w:right="326" w:firstLine="849"/>
        <w:jc w:val="left"/>
        <w:rPr>
          <w:sz w:val="36"/>
        </w:rPr>
      </w:pPr>
      <w:r>
        <w:rPr>
          <w:spacing w:val="-1"/>
          <w:sz w:val="36"/>
        </w:rPr>
        <w:t>当同一载体用于几种疫苗或一种疫苗的几种不同表位时,应考虑特异性表位</w:t>
      </w:r>
      <w:r>
        <w:rPr>
          <w:sz w:val="36"/>
        </w:rPr>
        <w:t>抑制的可能性,并进行调查;</w:t>
      </w:r>
    </w:p>
    <w:p>
      <w:pPr>
        <w:pStyle w:val="BodyText"/>
        <w:spacing w:before="1"/>
      </w:pPr>
    </w:p>
    <w:p>
      <w:pPr>
        <w:pStyle w:val="ListParagraph"/>
        <w:numPr>
          <w:ilvl w:val="0"/>
          <w:numId w:val="1"/>
        </w:numPr>
        <w:tabs>
          <w:tab w:val="left" w:pos="1312"/>
        </w:tabs>
        <w:spacing w:before="0" w:after="0" w:line="240" w:lineRule="auto"/>
        <w:ind w:left="1311" w:right="0" w:hanging="362"/>
        <w:jc w:val="left"/>
        <w:rPr>
          <w:sz w:val="36"/>
        </w:rPr>
      </w:pPr>
      <w:r>
        <w:rPr>
          <w:sz w:val="36"/>
        </w:rPr>
        <w:t>应当最大限度地降低残余溶剂或副产品的含量,并设定相应限定要求;</w:t>
      </w:r>
    </w:p>
    <w:p>
      <w:pPr>
        <w:pStyle w:val="BodyText"/>
        <w:spacing w:before="1"/>
        <w:rPr>
          <w:sz w:val="53"/>
        </w:rPr>
      </w:pPr>
    </w:p>
    <w:p>
      <w:pPr>
        <w:pStyle w:val="ListParagraph"/>
        <w:numPr>
          <w:ilvl w:val="0"/>
          <w:numId w:val="1"/>
        </w:numPr>
        <w:tabs>
          <w:tab w:val="left" w:pos="1312"/>
        </w:tabs>
        <w:spacing w:before="0" w:after="0" w:line="595" w:lineRule="auto"/>
        <w:ind w:left="950" w:right="2128" w:firstLine="0"/>
        <w:jc w:val="left"/>
        <w:rPr>
          <w:sz w:val="36"/>
        </w:rPr>
      </w:pPr>
      <w:r>
        <w:rPr>
          <w:spacing w:val="-1"/>
          <w:sz w:val="36"/>
        </w:rPr>
        <w:t>应当设定适宜的可接受的标准,合适的参考制品可能是必要的。</w:t>
      </w:r>
      <w:r>
        <w:rPr>
          <w:sz w:val="36"/>
        </w:rPr>
        <w:t>(九)载体</w:t>
      </w:r>
    </w:p>
    <w:p>
      <w:pPr>
        <w:pStyle w:val="BodyText"/>
        <w:spacing w:line="350" w:lineRule="auto"/>
        <w:ind w:left="100" w:right="276" w:firstLine="849"/>
      </w:pPr>
      <w:r>
        <w:t>肽能够联接或结合到载体上,选择载体时应谨慎,由于对载体的免疫应答可能</w:t>
      </w:r>
      <w:r>
        <w:rPr>
          <w:spacing w:val="-1"/>
        </w:rPr>
        <w:t>会掩蔽对肽的免疫应答。目标人群中的一部分可能对某一载体存在过敏反应或某些</w:t>
      </w:r>
      <w:r>
        <w:t>载体有刺激自身免疫的危急,应避开选择这些载体。载体应有自已的档案材料及相</w:t>
      </w:r>
      <w:r>
        <w:rPr>
          <w:spacing w:val="-1"/>
        </w:rPr>
        <w:t>应标准,它包括:载体的鉴定,生产全都性的证据,蛋白质的安全性以及与蛋白质、脂</w:t>
      </w:r>
      <w:r>
        <w:t>多糖、多聚体、脂质体等相关的一些特征试验。例如,聚合体和脂多糖应当具有可</w:t>
      </w:r>
      <w:r>
        <w:rPr>
          <w:spacing w:val="-1"/>
        </w:rPr>
        <w:t>重复的分子量范围,脂多糖具有全都的单糖组分,脂质体具有全都的结构、组分。对不同成分及杂质应鉴别定性并加以定量测定,对待生物来源的载体应当实行措施,确</w:t>
      </w:r>
      <w:r>
        <w:t>保检测不出感染因子。</w:t>
      </w:r>
    </w:p>
    <w:p>
      <w:pPr>
        <w:pStyle w:val="BodyText"/>
        <w:spacing w:before="2"/>
        <w:rPr>
          <w:sz w:val="37"/>
        </w:rPr>
      </w:pPr>
    </w:p>
    <w:p>
      <w:pPr>
        <w:pStyle w:val="BodyText"/>
        <w:ind w:left="950"/>
      </w:pPr>
      <w:r>
        <w:t>(十)聚合、烷化或载体合成肽</w:t>
      </w:r>
    </w:p>
    <w:p>
      <w:pPr>
        <w:pStyle w:val="BodyText"/>
        <w:spacing w:before="5"/>
        <w:rPr>
          <w:sz w:val="53"/>
        </w:rPr>
      </w:pPr>
    </w:p>
    <w:p>
      <w:pPr>
        <w:pStyle w:val="BodyText"/>
        <w:spacing w:line="350" w:lineRule="auto"/>
        <w:ind w:left="100" w:right="277" w:firstLine="849"/>
      </w:pPr>
      <w:r>
        <w:rPr>
          <w:spacing w:val="-7"/>
        </w:rPr>
        <w:t xml:space="preserve">无论是与聚合肽构架(例如 </w:t>
      </w:r>
      <w:r>
        <w:t>MAP)结合的肽,或肽单体合成后再进一步形成的聚</w:t>
      </w:r>
      <w:r>
        <w:rPr>
          <w:spacing w:val="-1"/>
        </w:rPr>
        <w:t>合肽或烷化肽(例如,经过未端半胱氨酸的氧化作用),也无论是单一肽链或与其它肽</w:t>
      </w:r>
      <w:r>
        <w:t>链的聚合,都应有相应的证据,表明反应经过达到了最后可重复的阶段。</w:t>
      </w:r>
    </w:p>
    <w:p>
      <w:pPr>
        <w:pStyle w:val="BodyText"/>
        <w:spacing w:before="10"/>
      </w:pPr>
    </w:p>
    <w:p>
      <w:pPr>
        <w:pStyle w:val="BodyText"/>
        <w:spacing w:line="350" w:lineRule="auto"/>
        <w:ind w:left="100" w:right="276" w:firstLine="849"/>
      </w:pPr>
      <w:r>
        <w:t>(十一)佐剂、防腐剂及其他添加成分为便利操作、增强稳定性、延长保存期以及修饰免疫原的类型和免疫原性,原则上可在免疫原中选择添加许多成分。这些</w:t>
      </w:r>
      <w:r>
        <w:rPr>
          <w:spacing w:val="-1"/>
        </w:rPr>
        <w:t>成分其特性变化较大,从小分子物质到大分子菌体成分及合成聚合物等各不相同,有</w:t>
      </w:r>
      <w:r>
        <w:t>作为非特异免疫增强剂的成分,特异性免疫激活作用的成分及直接作用于不同免疫</w:t>
      </w:r>
    </w:p>
    <w:p>
      <w:pPr>
        <w:spacing w:after="0" w:line="350" w:lineRule="auto"/>
        <w:sectPr>
          <w:pgSz w:w="18360" w:h="23760"/>
          <w:pgMar w:top="2300" w:right="2420" w:bottom="280" w:left="2600" w:header="708" w:footer="708"/>
          <w:cols w:space="708"/>
        </w:sectPr>
      </w:pPr>
    </w:p>
    <w:p>
      <w:pPr>
        <w:pStyle w:val="BodyText"/>
        <w:spacing w:before="23" w:line="350" w:lineRule="auto"/>
        <w:ind w:left="100" w:right="276"/>
      </w:pPr>
      <w:r>
        <w:t>细胞的成分。其中许多会产生自身的毒性,而且可能因与抗原联合使用而显著转变</w:t>
      </w:r>
      <w:r>
        <w:rPr>
          <w:spacing w:val="-1"/>
        </w:rPr>
        <w:t>免疫反应,从而引起安全性方面的其它顾虑。传统佐剂是在矿物胶基础上制成-氢氧</w:t>
      </w:r>
      <w:r>
        <w:t>化铝、磷酸铝或磷酸钙,到目前为止批准使用的佐剂鲜为他类。对已获批准的以铝盐及钙盐为基础的佐剂,其标准应达到药用等级(不含重金属</w:t>
      </w:r>
    </w:p>
    <w:p>
      <w:pPr>
        <w:pStyle w:val="BodyText"/>
        <w:spacing w:before="10"/>
      </w:pPr>
    </w:p>
    <w:p>
      <w:pPr>
        <w:pStyle w:val="BodyText"/>
        <w:spacing w:line="350" w:lineRule="auto"/>
        <w:ind w:left="100" w:right="98" w:firstLine="849"/>
      </w:pPr>
      <w:r>
        <w:t>离子,质量恒定,具有恒定的结合特征)。由于灭菌可能会转变佐剂的结合特征,</w:t>
      </w:r>
      <w:r>
        <w:rPr>
          <w:spacing w:val="-177"/>
        </w:rPr>
        <w:t xml:space="preserve"> </w:t>
      </w:r>
      <w:r>
        <w:t>对不同批次佐剂应以可重复、持续的方式处理。对待添加剂,应提供所有成分的明</w:t>
      </w:r>
      <w:r>
        <w:rPr>
          <w:spacing w:val="1"/>
        </w:rPr>
        <w:t xml:space="preserve"> </w:t>
      </w:r>
      <w:r>
        <w:t>确说明,阐述使用的理由。每种成分应具有适当的分析标准要求,终配方中应限定不同成分混合物的含量。此外,应全面评价配方的抗原及毒性特征,格外着重不同成分的混合可能会导致抗原发生不良的修饰作用。</w:t>
      </w:r>
    </w:p>
    <w:p>
      <w:pPr>
        <w:pStyle w:val="BodyText"/>
        <w:spacing w:before="1"/>
        <w:rPr>
          <w:sz w:val="37"/>
        </w:rPr>
      </w:pPr>
    </w:p>
    <w:p>
      <w:pPr>
        <w:pStyle w:val="BodyText"/>
        <w:spacing w:line="352" w:lineRule="auto"/>
        <w:ind w:left="100" w:right="506" w:firstLine="849"/>
      </w:pPr>
      <w:r>
        <w:rPr>
          <w:spacing w:val="-1"/>
        </w:rPr>
        <w:t>假若在疫苗中加入防腐剂,应确定其含量,该用量应既不对疫苗中的各个成分</w:t>
      </w:r>
      <w:r>
        <w:t>产生不良作用,也不应引起人体副反应。单剂量制剂不应添加防腐剂。</w:t>
      </w:r>
    </w:p>
    <w:p>
      <w:pPr>
        <w:pStyle w:val="BodyText"/>
      </w:pPr>
    </w:p>
    <w:p>
      <w:pPr>
        <w:pStyle w:val="BodyText"/>
        <w:ind w:left="950"/>
      </w:pPr>
      <w:r>
        <w:t>(十二)稳定性</w:t>
      </w:r>
    </w:p>
    <w:p>
      <w:pPr>
        <w:pStyle w:val="BodyText"/>
        <w:spacing w:before="2"/>
        <w:rPr>
          <w:sz w:val="53"/>
        </w:rPr>
      </w:pPr>
    </w:p>
    <w:p>
      <w:pPr>
        <w:pStyle w:val="BodyText"/>
        <w:spacing w:line="350" w:lineRule="auto"/>
        <w:ind w:left="100" w:right="276" w:firstLine="849"/>
      </w:pPr>
      <w:r>
        <w:t>进行充分的稳定性研究是研制疫苗的一项重要内容。因此应确定配方的稳定</w:t>
      </w:r>
      <w:r>
        <w:rPr>
          <w:spacing w:val="-1"/>
        </w:rPr>
        <w:t>性,并以此建立合适贮存条件下的最大货架期。为确保每种成分的有效性,应对到期</w:t>
      </w:r>
      <w:r>
        <w:t>产品的免疫原性及安全性进行实时稳定性研究。</w:t>
      </w:r>
    </w:p>
    <w:p>
      <w:pPr>
        <w:pStyle w:val="BodyText"/>
        <w:spacing w:before="9"/>
      </w:pPr>
    </w:p>
    <w:p>
      <w:pPr>
        <w:pStyle w:val="BodyText"/>
        <w:spacing w:before="1"/>
        <w:ind w:left="950"/>
      </w:pPr>
      <w:r>
        <w:t>三、产品的质量与检定要求</w:t>
      </w:r>
    </w:p>
    <w:p>
      <w:pPr>
        <w:pStyle w:val="BodyText"/>
        <w:spacing w:before="4"/>
        <w:rPr>
          <w:sz w:val="53"/>
        </w:rPr>
      </w:pPr>
    </w:p>
    <w:p>
      <w:pPr>
        <w:pStyle w:val="BodyText"/>
        <w:spacing w:line="350" w:lineRule="auto"/>
        <w:ind w:left="100" w:right="328" w:firstLine="849"/>
      </w:pPr>
      <w:r>
        <w:rPr>
          <w:spacing w:val="-1"/>
        </w:rPr>
        <w:t>保证多肽制品的全都性极其重要,应广泛使用分析技术。应对疫苗生产工艺的</w:t>
      </w:r>
      <w:r>
        <w:t>各个环节和步骤的各种成分(无论以单独或偶联方式)均应建立相应的监控标准,包括原材料质控,加工经过的质控和终产品的质控,以保证终产品安全有效。</w:t>
      </w:r>
    </w:p>
    <w:p>
      <w:pPr>
        <w:pStyle w:val="BodyText"/>
        <w:spacing w:before="11"/>
      </w:pPr>
    </w:p>
    <w:p>
      <w:pPr>
        <w:pStyle w:val="BodyText"/>
        <w:spacing w:line="350" w:lineRule="auto"/>
        <w:ind w:left="100" w:right="326" w:firstLine="849"/>
      </w:pPr>
      <w:r>
        <w:rPr>
          <w:spacing w:val="-1"/>
        </w:rPr>
        <w:t>除应符合常规的安全试验(如无菌、热原试验及异样毒性试验),针对合成多肽</w:t>
      </w:r>
      <w:r>
        <w:t>的特点应考虑:</w:t>
      </w:r>
    </w:p>
    <w:p>
      <w:pPr>
        <w:spacing w:after="0" w:line="350" w:lineRule="auto"/>
        <w:sectPr>
          <w:pgSz w:w="18360" w:h="23760"/>
          <w:pgMar w:top="2040" w:right="2420" w:bottom="280" w:left="2600" w:header="708" w:footer="708"/>
          <w:cols w:space="708"/>
        </w:sectPr>
      </w:pPr>
    </w:p>
    <w:p>
      <w:pPr>
        <w:pStyle w:val="BodyText"/>
        <w:spacing w:before="23" w:line="350" w:lineRule="auto"/>
        <w:ind w:left="100" w:right="326" w:firstLine="849"/>
      </w:pPr>
      <w:r>
        <w:rPr>
          <w:spacing w:val="-1"/>
        </w:rPr>
        <w:t>(一)纯度:高效液相色谱</w:t>
      </w:r>
      <w:r>
        <w:t>(HPLC)、毛细管电泳(CE)、阳离子或阴离子色谱、等</w:t>
      </w:r>
      <w:r>
        <w:rPr>
          <w:spacing w:val="-4"/>
        </w:rPr>
        <w:t xml:space="preserve">电聚焦,依据分子大小的鉴别技术(分子筛层析,还原、非还原 </w:t>
      </w:r>
      <w:r>
        <w:t>SDS-PAGE 电泳),依据疏水性的鉴别技术(反相或疏水作用层析)等相应分析的技术。</w:t>
      </w:r>
    </w:p>
    <w:p>
      <w:pPr>
        <w:pStyle w:val="BodyText"/>
        <w:spacing w:before="10"/>
      </w:pPr>
    </w:p>
    <w:p>
      <w:pPr>
        <w:pStyle w:val="BodyText"/>
        <w:spacing w:line="350" w:lineRule="auto"/>
        <w:ind w:left="100" w:right="325" w:firstLine="849"/>
      </w:pPr>
      <w:r>
        <w:rPr>
          <w:spacing w:val="-1"/>
        </w:rPr>
        <w:t>(二)理化性质均一性的确定:氨基酸序列分析</w:t>
      </w:r>
      <w:r>
        <w:t>(N/C</w:t>
      </w:r>
      <w:r>
        <w:rPr>
          <w:spacing w:val="-13"/>
        </w:rPr>
        <w:t xml:space="preserve"> 末端)、肽图、</w:t>
      </w:r>
      <w:r>
        <w:t>MS</w:t>
      </w:r>
      <w:r>
        <w:rPr>
          <w:spacing w:val="-19"/>
        </w:rPr>
        <w:t xml:space="preserve"> 以及氨基</w:t>
      </w:r>
      <w:r>
        <w:t>酸组成(AAA)分析。</w:t>
      </w:r>
    </w:p>
    <w:p>
      <w:pPr>
        <w:pStyle w:val="BodyText"/>
        <w:spacing w:before="6"/>
      </w:pPr>
    </w:p>
    <w:p>
      <w:pPr>
        <w:pStyle w:val="BodyText"/>
        <w:ind w:left="950"/>
      </w:pPr>
      <w:r>
        <w:t>(三)产品相关的杂质</w:t>
      </w:r>
    </w:p>
    <w:p>
      <w:pPr>
        <w:pStyle w:val="BodyText"/>
        <w:spacing w:before="6"/>
        <w:rPr>
          <w:sz w:val="53"/>
        </w:rPr>
      </w:pPr>
    </w:p>
    <w:p>
      <w:pPr>
        <w:pStyle w:val="BodyText"/>
        <w:spacing w:line="592" w:lineRule="auto"/>
        <w:ind w:left="950" w:right="8067"/>
      </w:pPr>
      <w:r>
        <w:rPr>
          <w:spacing w:val="-1"/>
        </w:rPr>
        <w:t>(四)与生产经过相关的杂质</w:t>
      </w:r>
      <w:r>
        <w:t>(五)人为修饰的检测</w:t>
      </w:r>
    </w:p>
    <w:p>
      <w:pPr>
        <w:pStyle w:val="BodyText"/>
        <w:spacing w:before="4"/>
        <w:ind w:left="950"/>
      </w:pPr>
      <w:r>
        <w:t>(六)效力试验</w:t>
      </w:r>
    </w:p>
    <w:p>
      <w:pPr>
        <w:pStyle w:val="BodyText"/>
        <w:rPr>
          <w:sz w:val="53"/>
        </w:rPr>
      </w:pPr>
    </w:p>
    <w:p>
      <w:pPr>
        <w:pStyle w:val="BodyText"/>
        <w:spacing w:line="352" w:lineRule="auto"/>
        <w:ind w:left="100" w:right="507" w:firstLine="849"/>
      </w:pPr>
      <w:r>
        <w:rPr>
          <w:spacing w:val="-1"/>
        </w:rPr>
        <w:t>效力试验并非肯定反映出在人体内的作用机制或功能活动。但是在合适情况</w:t>
      </w:r>
      <w:r>
        <w:t>下应包括有</w:t>
      </w:r>
    </w:p>
    <w:p>
      <w:pPr>
        <w:pStyle w:val="BodyText"/>
        <w:spacing w:before="2"/>
      </w:pPr>
    </w:p>
    <w:p>
      <w:pPr>
        <w:pStyle w:val="BodyText"/>
        <w:spacing w:line="350" w:lineRule="auto"/>
        <w:ind w:left="100" w:right="277" w:firstLine="849"/>
      </w:pPr>
      <w:r>
        <w:t>关疫苗功能的适宜试验。效力试验的主要目的是经过测定生物活性的方式,确</w:t>
      </w:r>
      <w:r>
        <w:rPr>
          <w:spacing w:val="-1"/>
        </w:rPr>
        <w:t>认各批之间的全都性。因此应考虑活体外及活体内免疫性和抗原性测定试验。这种</w:t>
      </w:r>
      <w:r>
        <w:t>试验应将制品同时与参考品做比较,而且试验结果经过统计学检验。由于疫苗的作</w:t>
      </w:r>
      <w:r>
        <w:rPr>
          <w:spacing w:val="-1"/>
        </w:rPr>
        <w:t>用模式会转变,有关这类试验的细节应区分对待,不能一概而论。但是应确定试验结果的可信限,以便确定方式本身固有的变异,为每批制品的平均值提供一个可信限幅</w:t>
      </w:r>
      <w:r>
        <w:t>度,并由此确定接受的标准及限值,为此应建立适宜的参考制剂。</w:t>
      </w:r>
    </w:p>
    <w:p>
      <w:pPr>
        <w:pStyle w:val="BodyText"/>
        <w:spacing w:before="4"/>
        <w:rPr>
          <w:sz w:val="37"/>
        </w:rPr>
      </w:pPr>
    </w:p>
    <w:p>
      <w:pPr>
        <w:pStyle w:val="BodyText"/>
        <w:ind w:left="950"/>
      </w:pPr>
      <w:r>
        <w:t>(七)生物效价测定</w:t>
      </w:r>
    </w:p>
    <w:p>
      <w:pPr>
        <w:pStyle w:val="BodyText"/>
        <w:spacing w:before="1"/>
        <w:rPr>
          <w:sz w:val="53"/>
        </w:rPr>
      </w:pPr>
    </w:p>
    <w:p>
      <w:pPr>
        <w:pStyle w:val="BodyText"/>
        <w:spacing w:line="350" w:lineRule="auto"/>
        <w:ind w:left="100" w:right="276" w:firstLine="849"/>
      </w:pPr>
      <w:r>
        <w:t>(八)建立内部参考品:建立适当的参考品对实现这些标准也是必要的。此外,</w:t>
      </w:r>
      <w:r>
        <w:rPr>
          <w:spacing w:val="1"/>
        </w:rPr>
        <w:t xml:space="preserve"> </w:t>
      </w:r>
      <w:r>
        <w:t>选取合适的一批中间产品及终产品(最好是选择经过临床评价的制品),就其化学成</w:t>
      </w:r>
      <w:r>
        <w:rPr>
          <w:spacing w:val="-1"/>
        </w:rPr>
        <w:t>分、纯度及生物学活性进行全面检定,而后保存下来作为化学或生物参考品,可依此</w:t>
      </w:r>
      <w:r>
        <w:t>制定每批产品的标准要求。</w:t>
      </w:r>
    </w:p>
    <w:p>
      <w:pPr>
        <w:spacing w:after="0" w:line="350" w:lineRule="auto"/>
        <w:sectPr>
          <w:pgSz w:w="18360" w:h="23760"/>
          <w:pgMar w:top="2040" w:right="2420" w:bottom="280" w:left="2600" w:header="708" w:footer="708"/>
          <w:cols w:space="708"/>
        </w:sectPr>
      </w:pPr>
    </w:p>
    <w:p>
      <w:pPr>
        <w:pStyle w:val="BodyText"/>
        <w:spacing w:before="12"/>
        <w:rPr>
          <w:sz w:val="13"/>
        </w:rPr>
      </w:pPr>
    </w:p>
    <w:p>
      <w:pPr>
        <w:pStyle w:val="BodyText"/>
        <w:spacing w:before="49" w:line="350" w:lineRule="auto"/>
        <w:ind w:left="100" w:right="505" w:firstLine="849"/>
        <w:jc w:val="both"/>
      </w:pPr>
      <w:r>
        <w:rPr>
          <w:spacing w:val="-1"/>
        </w:rPr>
        <w:t>(九)佐剂、保护剂及其他添加成分:假若使用铝或钙的化合物作为佐剂,其用</w:t>
      </w:r>
      <w:r>
        <w:rPr>
          <w:spacing w:val="-4"/>
        </w:rPr>
        <w:t xml:space="preserve">量不应超过常规用量范围(每人用剂量的铝佐剂含量应不超过 </w:t>
      </w:r>
      <w:r>
        <w:t>1.25mg,钙佐剂含量</w:t>
      </w:r>
      <w:r>
        <w:rPr>
          <w:spacing w:val="-19"/>
        </w:rPr>
        <w:t xml:space="preserve">应不超过 </w:t>
      </w:r>
      <w:r>
        <w:t>1.3mg)。对保护剂及其他添加剂应确定相应的质量控制标准。</w:t>
      </w:r>
    </w:p>
    <w:p>
      <w:pPr>
        <w:pStyle w:val="BodyText"/>
        <w:spacing w:before="10"/>
      </w:pPr>
    </w:p>
    <w:p>
      <w:pPr>
        <w:pStyle w:val="BodyText"/>
        <w:ind w:left="950"/>
      </w:pPr>
      <w:r>
        <w:t>四、临床前安全评价</w:t>
      </w:r>
    </w:p>
    <w:p>
      <w:pPr>
        <w:pStyle w:val="BodyText"/>
        <w:spacing w:before="4"/>
        <w:rPr>
          <w:sz w:val="53"/>
        </w:rPr>
      </w:pPr>
    </w:p>
    <w:p>
      <w:pPr>
        <w:pStyle w:val="BodyText"/>
        <w:spacing w:before="1" w:line="350" w:lineRule="auto"/>
        <w:ind w:left="100" w:right="276" w:firstLine="849"/>
      </w:pPr>
      <w:r>
        <w:t>临床前安全评价的主要目的是确定新药制品是否引起意外或不良的效应。但</w:t>
      </w:r>
      <w:r>
        <w:rPr>
          <w:spacing w:val="-1"/>
        </w:rPr>
        <w:t>推举供化学药使用的临床安全及毒性试验对待合成肽疫苗不甚相关。动物毒性试验会产生种属特异性方面的问题,因此,多肽疫苗的安全评价应考虑诸多因素。有必要</w:t>
      </w:r>
      <w:r>
        <w:t>实行灵活的方式评价合成肽疫苗的临床前安全性,应当充分考虑使用合成肽疫苗所产生不良免疫病理反应的各种可能性。</w:t>
      </w:r>
    </w:p>
    <w:p>
      <w:pPr>
        <w:pStyle w:val="BodyText"/>
        <w:rPr>
          <w:sz w:val="37"/>
        </w:rPr>
      </w:pPr>
    </w:p>
    <w:p>
      <w:pPr>
        <w:pStyle w:val="BodyText"/>
        <w:spacing w:line="350" w:lineRule="auto"/>
        <w:ind w:left="100" w:right="277" w:firstLine="849"/>
      </w:pPr>
      <w:r>
        <w:t>必需确保使用的肽序列不具有明显的不良药理活性。因此,应筛查单体肽固有</w:t>
      </w:r>
      <w:r>
        <w:rPr>
          <w:spacing w:val="-1"/>
        </w:rPr>
        <w:t>的毒性或药理作用。也应考虑由聚合或偶合而产生的作用的可能性。一种多肽可能</w:t>
      </w:r>
      <w:r>
        <w:t>有意想不到的次要活性,而这一活性可能会由于上述反应而得到放大并产生危害。因此,应全面检查多肽及其偶合物的药理活性。</w:t>
      </w:r>
    </w:p>
    <w:p>
      <w:pPr>
        <w:pStyle w:val="BodyText"/>
        <w:spacing w:before="10"/>
      </w:pPr>
    </w:p>
    <w:p>
      <w:pPr>
        <w:pStyle w:val="BodyText"/>
        <w:spacing w:line="350" w:lineRule="auto"/>
        <w:ind w:left="100" w:right="277" w:firstLine="849"/>
      </w:pPr>
      <w:r>
        <w:t>抗肽抗体可能与人体组织产生意想不到的交叉反应,也可引发自身免疫反应。因此,应使用人体组织测定疫苗的最后配方及佐剂是否产生意外的交叉抗体。偶合或聚合反应能产生新的表位,而仅仅评价肽单体不能解决该问题。毫无疑问安全试</w:t>
      </w:r>
      <w:r>
        <w:rPr>
          <w:spacing w:val="-1"/>
        </w:rPr>
        <w:t>验是必要的,但选择何种试验则应依靠实际情况而定,并应咨询有关质控当局。对待</w:t>
      </w:r>
      <w:r>
        <w:t>临床前安全性试验,应广泛使用生物学、生物化学、免疫学、毒理学及组织病理学</w:t>
      </w:r>
      <w:r>
        <w:rPr>
          <w:spacing w:val="-1"/>
        </w:rPr>
        <w:t>等适当的研究技术,在适当的情况下,可采纳多个相关剂量并包括急性及慢性试验。</w:t>
      </w:r>
    </w:p>
    <w:sectPr>
      <w:pgSz w:w="18360" w:h="23760"/>
      <w:pgMar w:top="2300" w:right="2420" w:bottom="280" w:left="2600" w:header="708" w:footer="70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font>
  <w:font w:name="宋体">
    <w:altName w:val="宋体"/>
    <w:charset w:val="86"/>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C176F3"/>
    <w:multiLevelType w:val="hybridMultilevel"/>
    <w:tmpl w:val="00000000"/>
    <w:lvl w:ilvl="0">
      <w:start w:val="1"/>
      <w:numFmt w:val="decimal"/>
      <w:lvlText w:val="%1."/>
      <w:lvlJc w:val="left"/>
      <w:pPr>
        <w:ind w:left="100" w:hanging="361"/>
        <w:jc w:val="left"/>
      </w:pPr>
      <w:rPr>
        <w:rFonts w:ascii="宋体" w:eastAsia="宋体" w:hAnsi="宋体" w:cs="宋体" w:hint="default"/>
        <w:w w:val="100"/>
        <w:sz w:val="34"/>
        <w:szCs w:val="34"/>
      </w:rPr>
    </w:lvl>
    <w:lvl w:ilvl="1">
      <w:start w:val="0"/>
      <w:numFmt w:val="bullet"/>
      <w:lvlText w:val="•"/>
      <w:lvlJc w:val="left"/>
      <w:pPr>
        <w:ind w:left="1424" w:hanging="361"/>
      </w:pPr>
      <w:rPr>
        <w:rFonts w:hint="default"/>
      </w:rPr>
    </w:lvl>
    <w:lvl w:ilvl="2">
      <w:start w:val="0"/>
      <w:numFmt w:val="bullet"/>
      <w:lvlText w:val="•"/>
      <w:lvlJc w:val="left"/>
      <w:pPr>
        <w:ind w:left="2748" w:hanging="361"/>
      </w:pPr>
      <w:rPr>
        <w:rFonts w:hint="default"/>
      </w:rPr>
    </w:lvl>
    <w:lvl w:ilvl="3">
      <w:start w:val="0"/>
      <w:numFmt w:val="bullet"/>
      <w:lvlText w:val="•"/>
      <w:lvlJc w:val="left"/>
      <w:pPr>
        <w:ind w:left="4072" w:hanging="361"/>
      </w:pPr>
      <w:rPr>
        <w:rFonts w:hint="default"/>
      </w:rPr>
    </w:lvl>
    <w:lvl w:ilvl="4">
      <w:start w:val="0"/>
      <w:numFmt w:val="bullet"/>
      <w:lvlText w:val="•"/>
      <w:lvlJc w:val="left"/>
      <w:pPr>
        <w:ind w:left="5396" w:hanging="361"/>
      </w:pPr>
      <w:rPr>
        <w:rFonts w:hint="default"/>
      </w:rPr>
    </w:lvl>
    <w:lvl w:ilvl="5">
      <w:start w:val="0"/>
      <w:numFmt w:val="bullet"/>
      <w:lvlText w:val="•"/>
      <w:lvlJc w:val="left"/>
      <w:pPr>
        <w:ind w:left="6720" w:hanging="361"/>
      </w:pPr>
      <w:rPr>
        <w:rFonts w:hint="default"/>
      </w:rPr>
    </w:lvl>
    <w:lvl w:ilvl="6">
      <w:start w:val="0"/>
      <w:numFmt w:val="bullet"/>
      <w:lvlText w:val="•"/>
      <w:lvlJc w:val="left"/>
      <w:pPr>
        <w:ind w:left="8044" w:hanging="361"/>
      </w:pPr>
      <w:rPr>
        <w:rFonts w:hint="default"/>
      </w:rPr>
    </w:lvl>
    <w:lvl w:ilvl="7">
      <w:start w:val="0"/>
      <w:numFmt w:val="bullet"/>
      <w:lvlText w:val="•"/>
      <w:lvlJc w:val="left"/>
      <w:pPr>
        <w:ind w:left="9368" w:hanging="361"/>
      </w:pPr>
      <w:rPr>
        <w:rFonts w:hint="default"/>
      </w:rPr>
    </w:lvl>
    <w:lvl w:ilvl="8">
      <w:start w:val="0"/>
      <w:numFmt w:val="bullet"/>
      <w:lvlText w:val="•"/>
      <w:lvlJc w:val="left"/>
      <w:pPr>
        <w:ind w:left="10692" w:hanging="361"/>
      </w:pPr>
      <w:rPr>
        <w:rFonts w:hint="default"/>
      </w:rPr>
    </w:lvl>
  </w:abstractNum>
  <w:abstractNum w:abstractNumId="1">
    <w:nsid w:val="4D1A899A"/>
    <w:multiLevelType w:val="hybridMultilevel"/>
    <w:tmpl w:val="00000000"/>
    <w:lvl w:ilvl="0">
      <w:start w:val="1"/>
      <w:numFmt w:val="decimal"/>
      <w:lvlText w:val="%1."/>
      <w:lvlJc w:val="left"/>
      <w:pPr>
        <w:ind w:left="100" w:hanging="361"/>
        <w:jc w:val="left"/>
      </w:pPr>
      <w:rPr>
        <w:rFonts w:ascii="宋体" w:eastAsia="宋体" w:hAnsi="宋体" w:cs="宋体" w:hint="default"/>
        <w:w w:val="100"/>
        <w:sz w:val="34"/>
        <w:szCs w:val="34"/>
      </w:rPr>
    </w:lvl>
    <w:lvl w:ilvl="1">
      <w:start w:val="0"/>
      <w:numFmt w:val="bullet"/>
      <w:lvlText w:val="•"/>
      <w:lvlJc w:val="left"/>
      <w:pPr>
        <w:ind w:left="1424" w:hanging="361"/>
      </w:pPr>
      <w:rPr>
        <w:rFonts w:hint="default"/>
      </w:rPr>
    </w:lvl>
    <w:lvl w:ilvl="2">
      <w:start w:val="0"/>
      <w:numFmt w:val="bullet"/>
      <w:lvlText w:val="•"/>
      <w:lvlJc w:val="left"/>
      <w:pPr>
        <w:ind w:left="2748" w:hanging="361"/>
      </w:pPr>
      <w:rPr>
        <w:rFonts w:hint="default"/>
      </w:rPr>
    </w:lvl>
    <w:lvl w:ilvl="3">
      <w:start w:val="0"/>
      <w:numFmt w:val="bullet"/>
      <w:lvlText w:val="•"/>
      <w:lvlJc w:val="left"/>
      <w:pPr>
        <w:ind w:left="4072" w:hanging="361"/>
      </w:pPr>
      <w:rPr>
        <w:rFonts w:hint="default"/>
      </w:rPr>
    </w:lvl>
    <w:lvl w:ilvl="4">
      <w:start w:val="0"/>
      <w:numFmt w:val="bullet"/>
      <w:lvlText w:val="•"/>
      <w:lvlJc w:val="left"/>
      <w:pPr>
        <w:ind w:left="5396" w:hanging="361"/>
      </w:pPr>
      <w:rPr>
        <w:rFonts w:hint="default"/>
      </w:rPr>
    </w:lvl>
    <w:lvl w:ilvl="5">
      <w:start w:val="0"/>
      <w:numFmt w:val="bullet"/>
      <w:lvlText w:val="•"/>
      <w:lvlJc w:val="left"/>
      <w:pPr>
        <w:ind w:left="6720" w:hanging="361"/>
      </w:pPr>
      <w:rPr>
        <w:rFonts w:hint="default"/>
      </w:rPr>
    </w:lvl>
    <w:lvl w:ilvl="6">
      <w:start w:val="0"/>
      <w:numFmt w:val="bullet"/>
      <w:lvlText w:val="•"/>
      <w:lvlJc w:val="left"/>
      <w:pPr>
        <w:ind w:left="8044" w:hanging="361"/>
      </w:pPr>
      <w:rPr>
        <w:rFonts w:hint="default"/>
      </w:rPr>
    </w:lvl>
    <w:lvl w:ilvl="7">
      <w:start w:val="0"/>
      <w:numFmt w:val="bullet"/>
      <w:lvlText w:val="•"/>
      <w:lvlJc w:val="left"/>
      <w:pPr>
        <w:ind w:left="9368" w:hanging="361"/>
      </w:pPr>
      <w:rPr>
        <w:rFonts w:hint="default"/>
      </w:rPr>
    </w:lvl>
    <w:lvl w:ilvl="8">
      <w:start w:val="0"/>
      <w:numFmt w:val="bullet"/>
      <w:lvlText w:val="•"/>
      <w:lvlJc w:val="left"/>
      <w:pPr>
        <w:ind w:left="10692" w:hanging="361"/>
      </w:pPr>
      <w:rPr>
        <w:rFont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宋体" w:eastAsia="宋体" w:hAnsi="宋体" w:cs="宋体"/>
      <w:sz w:val="36"/>
      <w:szCs w:val="36"/>
    </w:rPr>
  </w:style>
  <w:style w:type="paragraph" w:styleId="Title">
    <w:name w:val="Title"/>
    <w:basedOn w:val="Normal"/>
    <w:uiPriority w:val="1"/>
    <w:qFormat/>
    <w:pPr>
      <w:spacing w:before="4"/>
      <w:ind w:left="3104" w:right="2470"/>
      <w:jc w:val="center"/>
    </w:pPr>
    <w:rPr>
      <w:rFonts w:ascii="宋体" w:eastAsia="宋体" w:hAnsi="宋体" w:cs="宋体"/>
      <w:b/>
      <w:bCs/>
      <w:sz w:val="54"/>
      <w:szCs w:val="54"/>
    </w:rPr>
  </w:style>
  <w:style w:type="paragraph" w:styleId="ListParagraph">
    <w:name w:val="List Paragraph"/>
    <w:basedOn w:val="Normal"/>
    <w:uiPriority w:val="1"/>
    <w:qFormat/>
    <w:pPr>
      <w:ind w:left="100" w:firstLine="849"/>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2022-10-24T15:01:57Z</dcterms:created>
  <dcterms:modified xsi:type="dcterms:W3CDTF">2022-10-24T15:01:57Z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2022-09-30T00:00:00Z</vt:filetime>
  </property>
  <property fmtid="{D5CDD505-2E9C-101B-9397-08002B2CF9AE}" pid="3" name="LastSaved">
    <vt:filetime>2022-10-24T00:00:00Z</vt:filetime>
  </property>
</Properties>
</file>