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企业科技创新服务平台如何借助AI+数智应用解决科技资源匮乏与信息不对称问题？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今全球科技竞争日益激烈的大背景下，科技成果转化已成为推动各国经济发展、实现产业升级的关键因素。然而，我国在科技成果转化过程中仍面临诸多挑战，尤其是科技资源匮乏与信息不对称问题，严重制约了创新链与产业链的有效衔接。作为连接科研与市场的桥梁，企业科技创新服务平台亟需探索新的解决方案，而AI+数智应用正是破解这一难题的关键钥匙。本文将深入探讨如何通过AI赋能的技术转移服务，重构区域科技成果转化生态，助力企业突破发展瓶颈。</w:t>
      </w:r>
    </w:p>
    <w:p>
      <w:pPr>
        <w:ind w:firstLine="480"/>
      </w:pPr>
      <w:r>
        <w:t xml:space="preserve"> 一、传统模式之困：资源分散与信息壁垒的双重枷锁</w:t>
      </w:r>
    </w:p>
    <w:p>
      <w:pPr>
        <w:ind w:firstLine="480"/>
      </w:pPr>
      <w:r>
        <w:t>当前，我国科技成果转化领域存在明显的结构性矛盾。一方面，高校院所积累了大量的专利技术和实验室成果，但这些“沉睡”的资源因缺乏市场化导向的评估体系而难以激活；另一方面，企业在技术迭代、产品升级过程中面临高昂的研发成本和试错风险，却苦于找不到适配的技术方案。这种割裂状态的根源在于两点：一是科技成果的价值衡量依赖主观经验判断，缺乏标准化工具支撑快速筛选；二是供需双方的信息交互停留在低效的人工对接层面，无法实现精准匹配。例如，某生物医药企业曾耗费数月时间筛选适合其生产线改造的技术方案，最终因信息不对称导致合作失败率高达60%。这种粗放式的转化模式不仅浪费了大量创新要素，更使得中小企业在获取关键技术时处于弱势地位。</w:t>
      </w:r>
    </w:p>
    <w:p>
      <w:pPr>
        <w:ind w:firstLine="480"/>
      </w:pPr>
      <w:r>
        <w:t>AI技术的介入正在改变这一局面。通过构建智能评价系统，平台能够对科技成果进行多维度拆解分析——从科学价值到市场潜力，从技术成熟度到产业化可行性，形成可量化的指标体系。以某新材料领域的专利组合为例，系统通过语义解析、行业对标和场景模拟，自动生成包含转化率预测、成本效益分析在内的决策支持报告，将原本需要专家团队数周才能完成的评估工作压缩至48小时内完成。这种数据驱动的决策机制，本质上是在重塑科技资源的流动逻辑，让优质项目得以突破地域限制实现跨区域配置。</w:t>
      </w:r>
    </w:p>
    <w:p>
      <w:pPr>
        <w:ind w:firstLine="480"/>
      </w:pPr>
      <w:r>
        <w:t xml:space="preserve"> 二、数智化破局：构建全链条智能服务体系</w:t>
      </w:r>
    </w:p>
    <w:p>
      <w:pPr>
        <w:ind w:firstLine="480"/>
      </w:pPr>
      <w:r>
        <w:t xml:space="preserve"> （一）精准画像驱动的需求挖掘革命</w:t>
      </w:r>
    </w:p>
    <w:p>
      <w:pPr>
        <w:ind w:firstLine="480"/>
      </w:pPr>
      <w:r>
        <w:t>传统技术转移往往采用“广撒网”式的推广策略，导致大量无效沟通消耗了各方精力。而基于大数据的需求洞察系统，则能实现从被动响应到主动预判的转变。通过整合工商注册信息、招投标数据、产学研合作记录等多源异构数据，AI算法可以动态绘制企业的技术能力图谱与发展路径曲线。当某制造企业的设备能耗异常升高时，系统不仅能识别出其潜在的节能改造需求，还能关联推荐周边高校在热能工程领域的最新研究成果。这种预见性服务使技术供给方能够提前布局研发方向，变“找市场”为“创市场”。</w:t>
      </w:r>
    </w:p>
    <w:p>
      <w:pPr>
        <w:ind w:firstLine="480"/>
      </w:pPr>
      <w:r>
        <w:t>更值得关注的是，该体系还具备需求演化追踪能力。通过对行业政策变动、供应链波动等外部变量的持续监测，平台可为企业规划三年期的技术储备路线图。比如针对新能源汽车行业的电池密度提升趋势，提前锁定固态电解质材料的突破性进展，帮助企业抢占技术制高点。这种战略级的情报支持，有效弥合了科研机构的基础研究与企业实际应用之间的鸿沟。</w:t>
      </w:r>
    </w:p>
    <w:p>
      <w:pPr>
        <w:ind w:firstLine="480"/>
      </w:pPr>
      <w:r>
        <w:t xml:space="preserve"> （二）智能匹配重塑成果转化路径</w:t>
      </w:r>
    </w:p>
    <w:p>
      <w:pPr>
        <w:ind w:firstLine="480"/>
      </w:pPr>
      <w:r>
        <w:t>在成果供给侧，AI驱动的分级筛选机制正在重构评价标准。不同于以往单一维度的论文影响因子或专利数量考核，新系统引入技术成熟度（TRL）、市场渗透率预测、竞品替代风险等商业指标，建立动态加权的评估模型。某农业无人机项目的评分过程中，系统综合考量了田间测试数据、农户接受意愿调查以及同类进口产品的市占率变化，最终给出的商业化建议比传统评审结果高出35%的市场估值。这种立体化的评价视角，显著提升了优质成果的辨识度。</w:t>
      </w:r>
    </w:p>
    <w:p>
      <w:pPr>
        <w:ind w:firstLine="480"/>
      </w:pPr>
      <w:r>
        <w:t>供需对接环节的创新同样令人瞩目。依托自然语言处理技术搭建的对话式智能体，让技术经纪人得以解放双手。用户只需输入自然语言描述的需求特征，系统便能自动完成技术参数解析、候选方案初筛和优先级排序。在某次化工催化剂选型案例中，该功能帮助采购经理将备选清单从最初的200余项精简至8个高相关性选项，且其中3项最终达成合作意向。这种效率跃升的背后，是知识图谱与机器学习算法的协同作用——既保证了专业深度，又实现了操作便捷性。</w:t>
      </w:r>
    </w:p>
    <w:p>
      <w:pPr>
        <w:ind w:firstLine="480"/>
      </w:pPr>
      <w:r>
        <w:t xml:space="preserve"> （三）生态化运营激活区域协同效应</w:t>
      </w:r>
    </w:p>
    <w:p>
      <w:pPr>
        <w:ind w:firstLine="480"/>
      </w:pPr>
      <w:r>
        <w:t>真正的变革发生在平台级架构的设计上。通过打造“智能体矩阵”，不同角色的用户都能获得定制化入口：科研人员可通过成果管家管理知识产权组合，企业用户能调用行业洞察模块制定战略规划，而政府管理者则拥有全景驾驶舱监控区域创新态势。这种分层设计打破了原有的信息孤岛格局，催生出新型协作网络。例如，在长三角某产业园区的实践表明，接入统一平台的上下游企业间技术交易周期缩短了40%，衍生出的联合攻关项目数量增长三倍有余。</w:t>
      </w:r>
    </w:p>
    <w:p>
      <w:pPr>
        <w:ind w:firstLine="480"/>
      </w:pPr>
      <w:r>
        <w:t>特别值得一提的是成果银行的创新实践。借鉴金融系统的风控理念，平台建立了科技成果质押融资评估体系。通过分析专利引用频次、同族专利布局、核心发明人学术声誉等指标，为无形资产提供信用背书。某环保科技公司凭借其碳捕获技术的多维度评分报告，成功获得商业银行提供的知识产权质押贷款，解决了中试阶段的现金流难题。这种将科技价值转化为金融资本的能力，极大拓宽了成果转化的资金通道。</w:t>
      </w:r>
    </w:p>
    <w:p>
      <w:pPr>
        <w:ind w:firstLine="480"/>
      </w:pPr>
      <w:r>
        <w:t xml:space="preserve"> 三、价值升华：从工具革新到生态重构</w:t>
      </w:r>
    </w:p>
    <w:p>
      <w:pPr>
        <w:ind w:firstLine="480"/>
      </w:pPr>
      <w:r>
        <w:t>当我们审视这些技术变革时，会发现其意义远超出效率提升本身。AI+数智应用正在重塑科技成果转化的价值创造逻辑：它将碎片化的知识单元重组为系统化的解决方案，把偶然性的交易机会转化为可持续的商业关系，使孤立的创新行为演变为协同进化的网络生态。在这个过程中，每个参与主体都获得了新的角色定位——科研机构不再是单纯的成果产出者，而是成为产业需求的洞察者；企业也不仅是技术的使用者，更转型为创新生态的建设者。</w:t>
      </w:r>
    </w:p>
    <w:p>
      <w:pPr>
        <w:ind w:firstLine="480"/>
      </w:pPr>
      <w:r>
        <w:t>这种深层次的改变要求我们重新思考服务平台的战略定位。未来的平台不应局限于交易撮合功能，而应着力培育三大核心能力：一是构建开放型创新社区的能力，通过虚拟孵化器、云上实验室等形式降低协作门槛；二是发展智能化治理体系的能力，运用区块链技术实现确权溯源、收益分配的全流程透明化；三是塑造自适应进化机制的能力，利用强化学习持续优化匹配算法和服务模式。唯有如此，才能真正打通阻碍科技成果转化的“最后一公里”，让创新要素在更广阔的时空维度自由流动。</w:t>
      </w:r>
    </w:p>
    <w:p>
      <w:pPr>
        <w:ind w:firstLine="480"/>
      </w:pPr>
      <w:r>
        <w:t>站在新质生产力发展的潮头回望，那些率先拥抱数智化的先行者已展现出强劲活力。无论是乌江实验室打造的贵州省科创服务数智平台，还是厦门医学院构建的医工融合创新体系，都印证了一个真理：当科技成果转化遇上AI赋能，迸发出的不仅是效率红利，更是重塑产业格局的革命性力量。这或许就是破解“卡脖子”难题的中国方案——用数字化手段激活创新基因，以智能化服务贯通产学研用全链条，最终在全球价值链重构中占据先机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