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滥伐林木罪量刑标准</w:t>
      </w:r>
    </w:p>
    <w:p>
      <w:pPr>
        <w:widowControl/>
        <w:adjustRightInd w:val="0"/>
        <w:snapToGrid w:val="0"/>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滥伐林木罪是指违反森林法规定，未取得林木采伐许可证，或者违反采伐许可证规定的时间、数量、树种或方式，任意采伐本单位所有的森林及其他林木，任意采伐本人所有的林木，或者不以非法占有为目的，超过林木采伐许可证规定的数量，采伐国家、集体所有的森林及其他林木，采伐他人所有的林木，且数量较大的行为。关于滥伐林木罪的量刑标准，以下进行详细阐述：</w:t>
      </w:r>
    </w:p>
    <w:p>
      <w:pPr>
        <w:numPr>
          <w:ilvl w:val="0"/>
          <w:numId w:val="1"/>
        </w:num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量刑标准的法律依据</w:t>
      </w:r>
    </w:p>
    <w:p>
      <w:pPr>
        <w:widowControl/>
        <w:adjustRightInd w:val="0"/>
        <w:snapToGrid w:val="0"/>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滥伐林木罪的量刑标准主要依据《中华人民共和国刑法》的相关规定。根据《刑法》第三百四十五条第二款的规定，违反森林法的规定，滥伐森林或者其他林木，数量较大的，处三年以下有期徒刑、拘役或者管制，并处或者单处罚金；数量巨大的，处三年以上七年以下有期徒刑，并处罚金。同时，《中华人民共和国森林法实行条例》以及相关的司法解释也提供了具体的量刑指导。</w:t>
      </w:r>
    </w:p>
    <w:p>
      <w:pPr>
        <w:numPr>
          <w:ilvl w:val="0"/>
          <w:numId w:val="1"/>
        </w:num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量刑标准的具体划分</w:t>
      </w:r>
    </w:p>
    <w:p>
      <w:pPr>
        <w:numPr>
          <w:ilvl w:val="0"/>
          <w:numId w:val="2"/>
        </w:numPr>
        <w:adjustRightInd w:val="0"/>
        <w:snapToGrid w:val="0"/>
        <w:spacing w:line="560" w:lineRule="exact"/>
        <w:ind w:left="425" w:leftChars="0" w:hanging="425" w:firstLineChars="0"/>
        <w:rPr>
          <w:rFonts w:hint="eastAsia" w:ascii="Times New Roman" w:hAnsi="Times New Roman" w:eastAsia="黑体" w:cs="Times New Roman"/>
          <w:sz w:val="28"/>
          <w:szCs w:val="28"/>
          <w:lang w:val="en-US" w:eastAsia="zh-CN"/>
        </w:rPr>
      </w:pPr>
      <w:r>
        <w:rPr>
          <w:rFonts w:hint="eastAsia" w:ascii="Times New Roman" w:hAnsi="Times New Roman" w:eastAsia="黑体" w:cs="Times New Roman"/>
          <w:sz w:val="28"/>
          <w:szCs w:val="28"/>
          <w:lang w:val="en-US" w:eastAsia="zh-CN"/>
        </w:rPr>
        <w:t>数量较大的标准：</w:t>
      </w:r>
    </w:p>
    <w:p>
      <w:pPr>
        <w:widowControl/>
        <w:numPr>
          <w:ilvl w:val="0"/>
          <w:numId w:val="3"/>
        </w:numPr>
        <w:adjustRightInd w:val="0"/>
        <w:snapToGrid w:val="0"/>
        <w:spacing w:line="560" w:lineRule="exact"/>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司法解释和相关规定，“数量较大”一般是指滥伐林木达到一定的数量标准。具体而言，滥伐林木2立方米至5立方米或者幼树100株至200株，通常被视为数量较大。此外，也有规定认为滥伐森林或者其他林木10至20立方米以上，或者滥伐幼树500至1000株以上，属于数量较大的情形。</w:t>
      </w:r>
    </w:p>
    <w:p>
      <w:pPr>
        <w:widowControl/>
        <w:numPr>
          <w:ilvl w:val="0"/>
          <w:numId w:val="3"/>
        </w:numPr>
        <w:adjustRightInd w:val="0"/>
        <w:snapToGrid w:val="0"/>
        <w:spacing w:line="560" w:lineRule="exact"/>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对于数量较大的滥伐行为，将处三年以下有期徒刑、拘役或者管制，并处或者单处罚金。</w:t>
      </w:r>
    </w:p>
    <w:p>
      <w:pPr>
        <w:numPr>
          <w:ilvl w:val="0"/>
          <w:numId w:val="2"/>
        </w:numPr>
        <w:adjustRightInd w:val="0"/>
        <w:snapToGrid w:val="0"/>
        <w:spacing w:line="560" w:lineRule="exact"/>
        <w:ind w:left="425" w:leftChars="0" w:hanging="425" w:firstLineChars="0"/>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数量巨大的标准：</w:t>
      </w:r>
    </w:p>
    <w:p>
      <w:pPr>
        <w:widowControl/>
        <w:numPr>
          <w:ilvl w:val="0"/>
          <w:numId w:val="4"/>
        </w:numPr>
        <w:adjustRightInd w:val="0"/>
        <w:snapToGrid w:val="0"/>
        <w:spacing w:line="560" w:lineRule="exact"/>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数量巨大”则是指滥伐林木的数量远超过“数量较大”的标准。具体而言，滥伐林木20立方米至50立方米或者幼树1000株至2000株，通常被视为数量巨大。也有规定认为滥伐树木50立方米以上或幼树2500株以上，属于数量巨大的情形。</w:t>
      </w:r>
    </w:p>
    <w:p>
      <w:pPr>
        <w:widowControl/>
        <w:numPr>
          <w:ilvl w:val="0"/>
          <w:numId w:val="4"/>
        </w:numPr>
        <w:adjustRightInd w:val="0"/>
        <w:snapToGrid w:val="0"/>
        <w:spacing w:line="560" w:lineRule="exact"/>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对于数量巨大的滥伐行为，将处三年以上七年以下有期徒刑，并处罚金。</w:t>
      </w:r>
    </w:p>
    <w:p>
      <w:pPr>
        <w:numPr>
          <w:ilvl w:val="0"/>
          <w:numId w:val="1"/>
        </w:num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特殊情节的考量</w:t>
      </w:r>
    </w:p>
    <w:p>
      <w:pPr>
        <w:numPr>
          <w:ilvl w:val="0"/>
          <w:numId w:val="5"/>
        </w:numPr>
        <w:adjustRightInd w:val="0"/>
        <w:snapToGrid w:val="0"/>
        <w:spacing w:line="560" w:lineRule="exact"/>
        <w:ind w:left="425" w:leftChars="0" w:hanging="425" w:firstLineChars="0"/>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盗伐与滥伐的区分：</w:t>
      </w:r>
    </w:p>
    <w:p>
      <w:pPr>
        <w:widowControl/>
        <w:numPr>
          <w:ilvl w:val="0"/>
          <w:numId w:val="6"/>
        </w:numPr>
        <w:adjustRightInd w:val="0"/>
        <w:snapToGrid w:val="0"/>
        <w:spacing w:line="560" w:lineRule="exact"/>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盗伐林木罪与滥伐林木罪在行为对象和主观故意方面存在差异。盗伐林木罪是指以非法占有为目的，擅自砍伐国家、集体或他人所有的林木的行为。而滥伐林木罪则不以非法占有为目的，主要是违反采伐许可证规定或未经批准擅自采伐的行为。</w:t>
      </w:r>
    </w:p>
    <w:p>
      <w:pPr>
        <w:widowControl/>
        <w:numPr>
          <w:ilvl w:val="0"/>
          <w:numId w:val="6"/>
        </w:numPr>
        <w:adjustRightInd w:val="0"/>
        <w:snapToGrid w:val="0"/>
        <w:spacing w:line="560" w:lineRule="exact"/>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在量刑时，法院会根据具体行为特征和犯罪情节来区分盗伐和滥伐，并据此作出相应的判决。</w:t>
      </w:r>
    </w:p>
    <w:p>
      <w:pPr>
        <w:numPr>
          <w:ilvl w:val="0"/>
          <w:numId w:val="5"/>
        </w:numPr>
        <w:adjustRightInd w:val="0"/>
        <w:snapToGrid w:val="0"/>
        <w:spacing w:line="560" w:lineRule="exact"/>
        <w:ind w:left="425" w:leftChars="0" w:hanging="425" w:firstLineChars="0"/>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国家级自然保护区内滥伐的加重处罚：</w:t>
      </w:r>
    </w:p>
    <w:p>
      <w:pPr>
        <w:widowControl/>
        <w:numPr>
          <w:ilvl w:val="0"/>
          <w:numId w:val="7"/>
        </w:numPr>
        <w:adjustRightInd w:val="0"/>
        <w:snapToGrid w:val="0"/>
        <w:spacing w:line="560" w:lineRule="exact"/>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如果滥伐行为发生在国家级自然保护区内，将受到更严厉的处罚。这是因为国家级自然保护区内的森林资源具有极高的生态价值和保护意义，滥伐行为将对生态环境造成严重的破坏。</w:t>
      </w:r>
    </w:p>
    <w:p>
      <w:pPr>
        <w:widowControl/>
        <w:numPr>
          <w:ilvl w:val="0"/>
          <w:numId w:val="7"/>
        </w:numPr>
        <w:adjustRightInd w:val="0"/>
        <w:snapToGrid w:val="0"/>
        <w:spacing w:line="560" w:lineRule="exact"/>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因此，对于在国家级自然保护区内滥伐林木的行为，法院将依法从重处罚。</w:t>
      </w:r>
    </w:p>
    <w:p>
      <w:pPr>
        <w:numPr>
          <w:ilvl w:val="0"/>
          <w:numId w:val="5"/>
        </w:numPr>
        <w:adjustRightInd w:val="0"/>
        <w:snapToGrid w:val="0"/>
        <w:spacing w:line="560" w:lineRule="exact"/>
        <w:ind w:left="425" w:leftChars="0" w:hanging="425" w:firstLineChars="0"/>
        <w:rPr>
          <w:rFonts w:hint="default" w:ascii="Times New Roman" w:hAnsi="Times New Roman" w:eastAsia="黑体" w:cs="Times New Roman"/>
          <w:sz w:val="28"/>
          <w:szCs w:val="28"/>
          <w:lang w:val="en-US" w:eastAsia="zh-CN"/>
        </w:rPr>
      </w:pPr>
      <w:r>
        <w:rPr>
          <w:rFonts w:hint="default" w:ascii="Times New Roman" w:hAnsi="Times New Roman" w:eastAsia="黑体" w:cs="Times New Roman"/>
          <w:sz w:val="28"/>
          <w:szCs w:val="28"/>
          <w:lang w:val="en-US" w:eastAsia="zh-CN"/>
        </w:rPr>
        <w:t>单位犯罪的处罚：</w:t>
      </w:r>
    </w:p>
    <w:p>
      <w:pPr>
        <w:widowControl/>
        <w:adjustRightInd w:val="0"/>
        <w:snapToGrid w:val="0"/>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如果单位犯滥伐林木罪，将对单位判处罚金，并对其直接负责的主管人员和其他直接责任人员依照上述规定进行处罚。这体现了对单位犯罪行为的严厉打击和惩处。</w:t>
      </w:r>
    </w:p>
    <w:p>
      <w:pPr>
        <w:numPr>
          <w:ilvl w:val="0"/>
          <w:numId w:val="1"/>
        </w:num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量刑的综合考虑因素</w:t>
      </w:r>
    </w:p>
    <w:p>
      <w:pPr>
        <w:widowControl/>
        <w:adjustRightInd w:val="0"/>
        <w:snapToGrid w:val="0"/>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在司法实践中，法院在量刑时会综合考虑多种因素，以确保判决的公正性和合理性。这些因素包括但不限于：</w:t>
      </w:r>
    </w:p>
    <w:p>
      <w:pPr>
        <w:widowControl/>
        <w:numPr>
          <w:ilvl w:val="0"/>
          <w:numId w:val="8"/>
        </w:numPr>
        <w:adjustRightInd w:val="0"/>
        <w:snapToGrid w:val="0"/>
        <w:spacing w:line="560" w:lineRule="exact"/>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犯罪情节：包括滥伐林木的数量、种类、地点以及造成的生态破坏程度等。</w:t>
      </w:r>
    </w:p>
    <w:p>
      <w:pPr>
        <w:widowControl/>
        <w:numPr>
          <w:ilvl w:val="0"/>
          <w:numId w:val="8"/>
        </w:numPr>
        <w:adjustRightInd w:val="0"/>
        <w:snapToGrid w:val="0"/>
        <w:spacing w:line="560" w:lineRule="exact"/>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悔罪表现：被告人是否积极认罪、悔罪以及是否采取补救措施等。</w:t>
      </w:r>
    </w:p>
    <w:p>
      <w:pPr>
        <w:widowControl/>
        <w:numPr>
          <w:ilvl w:val="0"/>
          <w:numId w:val="8"/>
        </w:numPr>
        <w:adjustRightInd w:val="0"/>
        <w:snapToGrid w:val="0"/>
        <w:spacing w:line="560" w:lineRule="exact"/>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社会危害程度：滥伐行为对生态环境和社会公共利益造成的危害程度。</w:t>
      </w:r>
      <w:bookmarkStart w:id="0" w:name="_GoBack"/>
      <w:bookmarkEnd w:id="0"/>
    </w:p>
    <w:p>
      <w:pPr>
        <w:widowControl/>
        <w:numPr>
          <w:ilvl w:val="0"/>
          <w:numId w:val="8"/>
        </w:numPr>
        <w:adjustRightInd w:val="0"/>
        <w:snapToGrid w:val="0"/>
        <w:spacing w:line="560" w:lineRule="exact"/>
        <w:ind w:left="425" w:leftChars="0" w:hanging="425" w:firstLineChars="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自首立功情节：被告人是否有自首、立功等法定从轻、减轻情节。</w:t>
      </w:r>
    </w:p>
    <w:p>
      <w:pPr>
        <w:widowControl/>
        <w:adjustRightInd w:val="0"/>
        <w:snapToGrid w:val="0"/>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综上所述，滥伐林木罪的量刑标准是一个复杂而细致的过程，需要法院根据具体的法律规定和案件事实进行综合判断。通过严厉的刑事处罚和有效的法律监管，我们可以更好地保护生态环境和森林资源，维护生态平衡和可持续发展。</w:t>
      </w:r>
    </w:p>
    <w:p>
      <w:pPr>
        <w:spacing w:line="700" w:lineRule="exact"/>
        <w:jc w:val="both"/>
        <w:rPr>
          <w:rFonts w:hint="eastAsia" w:ascii="Times New Roman" w:hAnsi="Times New Roman" w:eastAsia="方正小标宋简体" w:cs="Times New Roman"/>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黑体"/>
    <w:panose1 w:val="02010601030101010101"/>
    <w:charset w:val="86"/>
    <w:family w:val="auto"/>
    <w:pitch w:val="default"/>
    <w:sig w:usb0="00000000" w:usb1="00000000" w:usb2="00000000" w:usb3="00000000" w:csb0="00040000"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E4F3D3"/>
    <w:multiLevelType w:val="singleLevel"/>
    <w:tmpl w:val="81E4F3D3"/>
    <w:lvl w:ilvl="0" w:tentative="0">
      <w:start w:val="1"/>
      <w:numFmt w:val="decimal"/>
      <w:lvlText w:val="%1."/>
      <w:lvlJc w:val="left"/>
      <w:pPr>
        <w:ind w:left="425" w:hanging="425"/>
      </w:pPr>
      <w:rPr>
        <w:rFonts w:hint="default"/>
      </w:rPr>
    </w:lvl>
  </w:abstractNum>
  <w:abstractNum w:abstractNumId="1">
    <w:nsid w:val="9007BBA2"/>
    <w:multiLevelType w:val="singleLevel"/>
    <w:tmpl w:val="9007BBA2"/>
    <w:lvl w:ilvl="0" w:tentative="0">
      <w:start w:val="1"/>
      <w:numFmt w:val="decimal"/>
      <w:lvlText w:val="%1."/>
      <w:lvlJc w:val="left"/>
      <w:pPr>
        <w:ind w:left="425" w:hanging="425"/>
      </w:pPr>
      <w:rPr>
        <w:rFonts w:hint="default"/>
      </w:rPr>
    </w:lvl>
  </w:abstractNum>
  <w:abstractNum w:abstractNumId="2">
    <w:nsid w:val="A81BF132"/>
    <w:multiLevelType w:val="singleLevel"/>
    <w:tmpl w:val="A81BF132"/>
    <w:lvl w:ilvl="0" w:tentative="0">
      <w:start w:val="1"/>
      <w:numFmt w:val="decimal"/>
      <w:lvlText w:val="(%1)"/>
      <w:lvlJc w:val="left"/>
      <w:pPr>
        <w:ind w:left="425" w:hanging="425"/>
      </w:pPr>
      <w:rPr>
        <w:rFonts w:hint="default"/>
      </w:rPr>
    </w:lvl>
  </w:abstractNum>
  <w:abstractNum w:abstractNumId="3">
    <w:nsid w:val="BE68EA73"/>
    <w:multiLevelType w:val="singleLevel"/>
    <w:tmpl w:val="BE68EA73"/>
    <w:lvl w:ilvl="0" w:tentative="0">
      <w:start w:val="1"/>
      <w:numFmt w:val="decimal"/>
      <w:lvlText w:val="%1."/>
      <w:lvlJc w:val="left"/>
      <w:pPr>
        <w:ind w:left="425" w:hanging="425"/>
      </w:pPr>
      <w:rPr>
        <w:rFonts w:hint="default"/>
      </w:rPr>
    </w:lvl>
  </w:abstractNum>
  <w:abstractNum w:abstractNumId="4">
    <w:nsid w:val="E90DF444"/>
    <w:multiLevelType w:val="singleLevel"/>
    <w:tmpl w:val="E90DF444"/>
    <w:lvl w:ilvl="0" w:tentative="0">
      <w:start w:val="1"/>
      <w:numFmt w:val="decimal"/>
      <w:lvlText w:val="%1."/>
      <w:lvlJc w:val="left"/>
      <w:pPr>
        <w:ind w:left="425" w:hanging="425"/>
      </w:pPr>
      <w:rPr>
        <w:rFonts w:hint="default"/>
      </w:rPr>
    </w:lvl>
  </w:abstractNum>
  <w:abstractNum w:abstractNumId="5">
    <w:nsid w:val="EB64F48F"/>
    <w:multiLevelType w:val="singleLevel"/>
    <w:tmpl w:val="EB64F48F"/>
    <w:lvl w:ilvl="0" w:tentative="0">
      <w:start w:val="1"/>
      <w:numFmt w:val="decimal"/>
      <w:lvlText w:val="%1."/>
      <w:lvlJc w:val="left"/>
      <w:pPr>
        <w:ind w:left="425" w:hanging="425"/>
      </w:pPr>
      <w:rPr>
        <w:rFonts w:hint="default"/>
      </w:rPr>
    </w:lvl>
  </w:abstractNum>
  <w:abstractNum w:abstractNumId="6">
    <w:nsid w:val="00000005"/>
    <w:multiLevelType w:val="singleLevel"/>
    <w:tmpl w:val="00000005"/>
    <w:lvl w:ilvl="0" w:tentative="0">
      <w:start w:val="1"/>
      <w:numFmt w:val="chineseCounting"/>
      <w:suff w:val="nothing"/>
      <w:lvlText w:val="%1、"/>
      <w:lvlJc w:val="left"/>
    </w:lvl>
  </w:abstractNum>
  <w:abstractNum w:abstractNumId="7">
    <w:nsid w:val="1608881F"/>
    <w:multiLevelType w:val="singleLevel"/>
    <w:tmpl w:val="1608881F"/>
    <w:lvl w:ilvl="0" w:tentative="0">
      <w:start w:val="1"/>
      <w:numFmt w:val="decimal"/>
      <w:lvlText w:val="(%1)"/>
      <w:lvlJc w:val="left"/>
      <w:pPr>
        <w:ind w:left="425" w:hanging="425"/>
      </w:pPr>
      <w:rPr>
        <w:rFonts w:hint="default"/>
      </w:rPr>
    </w:lvl>
  </w:abstractNum>
  <w:num w:numId="1">
    <w:abstractNumId w:val="6"/>
  </w:num>
  <w:num w:numId="2">
    <w:abstractNumId w:val="7"/>
  </w:num>
  <w:num w:numId="3">
    <w:abstractNumId w:val="0"/>
  </w:num>
  <w:num w:numId="4">
    <w:abstractNumId w:val="5"/>
  </w:num>
  <w:num w:numId="5">
    <w:abstractNumId w:val="2"/>
  </w:num>
  <w:num w:numId="6">
    <w:abstractNumId w:val="4"/>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43742"/>
    <w:rsid w:val="6B8015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2025-01-20T06:43:23Z</dcterms:created>
  <dc:creator>Administrator</dc:creator>
  <cp:lastModifiedBy>罗发伟</cp:lastModifiedBy>
  <dcterms:modified xsi:type="dcterms:W3CDTF">2025-01-20T06:48:37Z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