
<file path=[Content_Types].xml><?xml version="1.0" encoding="utf-8"?>
<Types xmlns="http://schemas.openxmlformats.org/package/2006/content-types">
  <Default Extension="xml" ContentType="application/xml"/>
  <Default Extension="wmf" ContentType="image/x-wmf"/>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BBAC06">
      <w:pPr>
        <w:pStyle w:val="145"/>
        <w:rPr>
          <w:lang w:eastAsia="zh-CN"/>
        </w:rPr>
      </w:pPr>
      <w:bookmarkStart w:id="0" w:name="_Toc438987549"/>
      <w:bookmarkStart w:id="1" w:name="_Toc453597319"/>
      <w:bookmarkStart w:id="2" w:name="_Toc517262917"/>
      <w:bookmarkStart w:id="3" w:name="_Toc481801204"/>
      <w:bookmarkStart w:id="4" w:name="_Toc415143481"/>
      <w:bookmarkStart w:id="5" w:name="OLE_LINK40"/>
      <w:bookmarkStart w:id="6" w:name="OLE_LINK15"/>
      <w:bookmarkStart w:id="7" w:name="OLE_LINK13"/>
      <w:bookmarkStart w:id="8" w:name="_Toc418070112"/>
      <w:bookmarkStart w:id="9" w:name="_Toc415818939"/>
      <w:bookmarkStart w:id="10" w:name="_Toc415142861"/>
      <w:bookmarkStart w:id="11" w:name="OLE_LINK24"/>
      <w:bookmarkStart w:id="12" w:name="OLE_LINK39"/>
      <w:r>
        <w:rPr>
          <w:rFonts w:hint="eastAsia"/>
          <w:lang w:eastAsia="zh-CN"/>
        </w:rPr>
        <w:t>外置鼻扩张器和鼻贴都是非侵入式设备，旨在通过轻轻扩张鼻孔来改善鼻腔的气流。通常，这些设备由带有粘性背衬的柔性带或条组成，贴在鼻子上，通常是鼻梁上方。鼻贴的作用是将鼻子两侧拉开，有助于减少鼻塞、改善呼吸，并缓解打鼾、过敏和鼻塞等症状。外置鼻扩张器和鼻贴通常用于暂时缓解，在轻度至中度鼻呼吸问题患者中很受欢迎，是一种简单的非处方解决方案，可在睡眠或体育活动期间增强气流。</w:t>
      </w:r>
    </w:p>
    <w:p w14:paraId="1CB680E1">
      <w:pPr>
        <w:pStyle w:val="145"/>
        <w:rPr>
          <w:rFonts w:hint="eastAsia"/>
          <w:lang w:eastAsia="zh-CN"/>
        </w:rPr>
      </w:pPr>
      <w:r>
        <w:rPr>
          <w:rFonts w:hint="eastAsia"/>
          <w:lang w:eastAsia="zh-CN"/>
        </w:rPr>
        <w:t>外鼻扩张器和鼻贴市场主要受呼吸系统疾病（如鼻塞、打鼾和睡眠呼吸暂停）日益流行的推动，以及人们对改善鼻腔气流的非侵入性解决方案的认识不断提高。越来越多的人寻求非处方治疗常见鼻腔问题的方法，尤其是在过敏季节或寒冷天气，这刺激了市场需求。此外，这些设备在运动员中越来越受欢迎，尤其是跑步者和那些参与需要最佳呼吸功能的运动的人，这正在推动市场扩张。人们对更好的睡眠质量和休息时呼吸舒适度的日益关注也支持了鼻贴和扩张器的采用，它们提供了一种简单、经济有效的解决方案，可改善气流并减少睡眠期间的不适。</w:t>
      </w:r>
    </w:p>
    <w:p w14:paraId="07CA598B">
      <w:pPr>
        <w:pStyle w:val="145"/>
        <w:rPr>
          <w:lang w:eastAsia="zh-CN"/>
        </w:rPr>
      </w:pPr>
      <w:r>
        <w:rPr>
          <w:rFonts w:hint="eastAsia"/>
          <w:lang w:eastAsia="zh-CN"/>
        </w:rPr>
        <w:t>然而，外鼻扩张器和鼻贴市场面临着与市场竞争和产品差异化相关的挑战。虽然鼻贴广泛可用，但它们通常被视为临时解决方案而不是长期治疗，限制了消费者的忠诚度和重复购买。此外，这些设备的功效因人而异，因为它们主要提供症状缓解，而不是解决鼻塞或呼吸困难的根本原因。市场还面临来自其他治疗方法的竞争，例如鼻腔喷雾剂、吸入器和医疗设备，这些设备可能被认为在治疗慢性病方面更有效。此外，人们担心一次性鼻贴和扩张器对环境的影响，这可能会促使人们转向可持续的替代品。</w:t>
      </w:r>
    </w:p>
    <w:p w14:paraId="12635508">
      <w:pPr>
        <w:pStyle w:val="145"/>
        <w:rPr>
          <w:rFonts w:hint="eastAsia"/>
          <w:lang w:eastAsia="zh-CN"/>
        </w:rPr>
      </w:pPr>
      <w:r>
        <w:rPr>
          <w:rFonts w:hint="eastAsia"/>
          <w:lang w:eastAsia="zh-CN"/>
        </w:rPr>
        <w:t>外鼻扩张器和鼻贴的未来发展趋势将朝着更加智能化、舒适化和个性化的方向发展。随着技术进步，未来的外鼻扩张器和鼻贴可能会结合传感器技术，实时监测佩戴者的呼吸状况，并通过移动应用进行数据反馈和调整。智能化产品的出现能够帮助用户更好地管理自己的呼吸健康，尤其是在运动或睡眠过程中。此外，随着3D打印技术的发展，个性化定制鼻贴和外鼻扩张器有望得到推广，能够根据每个用户的鼻型进行量身定制，提供更好的舒适性和效果。</w:t>
      </w:r>
    </w:p>
    <w:p w14:paraId="104D6435">
      <w:pPr>
        <w:pStyle w:val="145"/>
        <w:rPr>
          <w:rFonts w:hint="eastAsia"/>
          <w:lang w:eastAsia="zh-CN"/>
        </w:rPr>
      </w:pPr>
      <w:r>
        <w:rPr>
          <w:rFonts w:hint="eastAsia"/>
          <w:lang w:eastAsia="zh-CN"/>
        </w:rPr>
        <w:t>另一方面，外鼻扩张器和鼻贴的材料和设计也将持续创新，未来的产品可能采用更加柔软、透气和环保的材料，以提升佩戴体验并减少对皮肤的刺激。随着环保意识的提升，生物降解性和可回收材料的使用将成为未来产品发展的重要方向。此外，随着全球对睡眠质量和呼吸健康的关注不断增加，外鼻扩张器和鼻贴将不仅仅局限于解决鼻塞等短期问题，更可能成为长期管理呼吸健康、改善睡眠质量的有效工具。</w:t>
      </w:r>
    </w:p>
    <w:p w14:paraId="12FD9BEF">
      <w:pPr>
        <w:pStyle w:val="145"/>
        <w:rPr>
          <w:lang w:eastAsia="zh-CN"/>
        </w:rPr>
      </w:pPr>
      <w:r>
        <w:rPr>
          <w:rFonts w:hint="eastAsia"/>
          <w:lang w:eastAsia="zh-CN"/>
        </w:rPr>
        <w:t>据QYResearch调研团队最新报告“全球外置鼻扩张器及鼻贴市场报告2024-2030”显示，预计2030年全球外置鼻扩张器及鼻贴市场规模将达到8.9亿美元，未来几年年复合增长率CAGR为5.9%</w:t>
      </w:r>
    </w:p>
    <w:p w14:paraId="720E31E2">
      <w:pPr>
        <w:pStyle w:val="148"/>
        <w:rPr>
          <w:lang w:eastAsia="zh-CN"/>
        </w:rPr>
      </w:pPr>
      <w:r>
        <w:rPr>
          <w:rFonts w:hint="eastAsia"/>
          <w:lang w:eastAsia="zh-CN"/>
        </w:rPr>
        <w:t>全球</w:t>
      </w:r>
      <w:r>
        <w:rPr>
          <w:lang w:eastAsia="zh-CN"/>
        </w:rPr>
        <w:t>外置鼻扩张器及鼻贴</w:t>
      </w:r>
      <w:r>
        <w:rPr>
          <w:rFonts w:hint="eastAsia"/>
          <w:lang w:eastAsia="zh-CN"/>
        </w:rPr>
        <w:t>市场前</w:t>
      </w:r>
      <w:r>
        <w:rPr>
          <w:lang w:eastAsia="zh-CN"/>
        </w:rPr>
        <w:t>9</w:t>
      </w:r>
      <w:r>
        <w:rPr>
          <w:rFonts w:hint="eastAsia"/>
          <w:lang w:eastAsia="zh-CN"/>
        </w:rPr>
        <w:t>强生产商排名及市场占有率（基于2</w:t>
      </w:r>
      <w:r>
        <w:rPr>
          <w:lang w:eastAsia="zh-CN"/>
        </w:rPr>
        <w:t>023</w:t>
      </w:r>
      <w:r>
        <w:rPr>
          <w:rFonts w:hint="eastAsia"/>
          <w:lang w:eastAsia="zh-CN"/>
        </w:rPr>
        <w:t>年调研数据；目前最新数据以本公司最新调研数据为准）</w:t>
      </w:r>
    </w:p>
    <w:p w14:paraId="773AFA33">
      <w:pPr>
        <w:widowControl/>
        <w:topLinePunct w:val="0"/>
        <w:spacing w:after="0"/>
        <w:jc w:val="center"/>
        <w:rPr>
          <w:rFonts w:ascii="宋体" w:hAnsi="宋体" w:cs="宋体"/>
          <w:kern w:val="0"/>
          <w:sz w:val="24"/>
          <w:szCs w:val="24"/>
        </w:rPr>
      </w:pPr>
      <w:r>
        <w:drawing>
          <wp:inline distT="0" distB="0" distL="0" distR="0">
            <wp:extent cx="3771900" cy="4206240"/>
            <wp:effectExtent l="0" t="0" r="0" b="381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04A43543">
      <w:pPr>
        <w:pStyle w:val="143"/>
        <w:rPr>
          <w:lang w:eastAsia="zh-CN"/>
        </w:rPr>
      </w:pPr>
      <w:r>
        <w:rPr>
          <w:rFonts w:hint="eastAsia"/>
          <w:lang w:eastAsia="zh-CN"/>
        </w:rPr>
        <w:t>来源：QYResearch 医疗研究中心。行业处于不断变动之中，最新数据请联系QYResearch咨询。</w:t>
      </w:r>
    </w:p>
    <w:p w14:paraId="6E466FB3">
      <w:pPr>
        <w:pStyle w:val="145"/>
        <w:rPr>
          <w:lang w:eastAsia="zh-CN"/>
        </w:rPr>
      </w:pPr>
      <w:r>
        <w:rPr>
          <w:rFonts w:hint="eastAsia"/>
          <w:lang w:eastAsia="zh-CN"/>
        </w:rPr>
        <w:t>根据QYResearch头部企业研究中心调研，全球范围内外置鼻扩张器及鼻贴生产商主要包括Foundation Consumer Healthcare、Equate (Walmart)、ASO Medical、石家庄市宏泽卫生用品厂、中美史克等。2023年，全球前四大厂商占有大约215.0%的市场份额。</w:t>
      </w:r>
    </w:p>
    <w:p w14:paraId="3B2E5865">
      <w:pPr>
        <w:pStyle w:val="145"/>
        <w:rPr>
          <w:lang w:eastAsia="zh-CN"/>
        </w:rPr>
      </w:pPr>
    </w:p>
    <w:p w14:paraId="3E6DE9A8">
      <w:pPr>
        <w:pStyle w:val="148"/>
        <w:rPr>
          <w:lang w:eastAsia="zh-CN"/>
        </w:rPr>
      </w:pPr>
      <w:r>
        <w:rPr>
          <w:lang w:eastAsia="zh-CN"/>
        </w:rPr>
        <w:t>外置鼻扩张器及鼻贴</w:t>
      </w:r>
      <w:r>
        <w:rPr>
          <w:rFonts w:hint="eastAsia"/>
          <w:lang w:eastAsia="zh-CN"/>
        </w:rPr>
        <w:t>，全球市场规模，按产品类型细分，成人型处于主导地位</w:t>
      </w:r>
    </w:p>
    <w:p w14:paraId="1DAC1641">
      <w:pPr>
        <w:pStyle w:val="145"/>
        <w:rPr>
          <w:rFonts w:hint="eastAsia"/>
          <w:lang w:eastAsia="zh-CN"/>
        </w:rPr>
      </w:pPr>
      <w:r>
        <w:drawing>
          <wp:inline distT="0" distB="0" distL="0" distR="0">
            <wp:extent cx="6188710" cy="2922270"/>
            <wp:effectExtent l="0" t="0" r="2540" b="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49F94F91">
      <w:pPr>
        <w:pStyle w:val="143"/>
        <w:rPr>
          <w:lang w:eastAsia="zh-CN"/>
        </w:rPr>
      </w:pPr>
      <w:r>
        <w:drawing>
          <wp:inline distT="0" distB="0" distL="0" distR="0">
            <wp:extent cx="5372100" cy="28194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0"/>
                    <a:stretch>
                      <a:fillRect/>
                    </a:stretch>
                  </pic:blipFill>
                  <pic:spPr>
                    <a:xfrm>
                      <a:off x="0" y="0"/>
                      <a:ext cx="5372100" cy="2819400"/>
                    </a:xfrm>
                    <a:prstGeom prst="rect">
                      <a:avLst/>
                    </a:prstGeom>
                  </pic:spPr>
                </pic:pic>
              </a:graphicData>
            </a:graphic>
          </wp:inline>
        </w:drawing>
      </w:r>
    </w:p>
    <w:p w14:paraId="39AE0722">
      <w:pPr>
        <w:pStyle w:val="143"/>
        <w:rPr>
          <w:lang w:eastAsia="zh-CN"/>
        </w:rPr>
      </w:pPr>
      <w:r>
        <w:rPr>
          <w:rFonts w:hint="eastAsia"/>
          <w:lang w:eastAsia="zh-CN"/>
        </w:rPr>
        <w:t>来源：QYResearch 医疗研究中心</w:t>
      </w:r>
    </w:p>
    <w:p w14:paraId="0C15F77A">
      <w:pPr>
        <w:pStyle w:val="145"/>
        <w:rPr>
          <w:lang w:eastAsia="zh-CN"/>
        </w:rPr>
      </w:pPr>
      <w:r>
        <w:rPr>
          <w:rFonts w:hint="eastAsia"/>
          <w:lang w:eastAsia="zh-CN"/>
        </w:rPr>
        <w:t>就产品类型而言，目前成人型是最主要的细分产品，占据大约76.1%的份额。</w:t>
      </w:r>
    </w:p>
    <w:p w14:paraId="41C3AE68">
      <w:pPr>
        <w:pStyle w:val="145"/>
        <w:rPr>
          <w:lang w:eastAsia="zh-CN"/>
        </w:rPr>
      </w:pPr>
    </w:p>
    <w:p w14:paraId="0B069045">
      <w:pPr>
        <w:pStyle w:val="148"/>
        <w:rPr>
          <w:lang w:eastAsia="zh-CN"/>
        </w:rPr>
      </w:pPr>
      <w:r>
        <w:rPr>
          <w:lang w:eastAsia="zh-CN"/>
        </w:rPr>
        <w:t>外置鼻扩张器及鼻贴</w:t>
      </w:r>
      <w:r>
        <w:rPr>
          <w:rFonts w:hint="eastAsia"/>
          <w:lang w:eastAsia="zh-CN"/>
        </w:rPr>
        <w:t>，全球市场规模，按应用细分，鼻塞是最大的下游市场，占有</w:t>
      </w:r>
      <w:r>
        <w:rPr>
          <w:lang w:eastAsia="zh-CN"/>
        </w:rPr>
        <w:t>59.8</w:t>
      </w:r>
      <w:r>
        <w:rPr>
          <w:rFonts w:hint="eastAsia"/>
          <w:lang w:eastAsia="zh-CN"/>
        </w:rPr>
        <w:t>%份额。</w:t>
      </w:r>
    </w:p>
    <w:p w14:paraId="0A4DB270">
      <w:pPr>
        <w:widowControl/>
        <w:topLinePunct w:val="0"/>
        <w:spacing w:after="0"/>
        <w:jc w:val="left"/>
        <w:rPr>
          <w:rFonts w:ascii="宋体" w:hAnsi="宋体" w:cs="宋体"/>
          <w:kern w:val="0"/>
          <w:sz w:val="24"/>
          <w:szCs w:val="24"/>
        </w:rPr>
      </w:pPr>
      <w:r>
        <w:drawing>
          <wp:inline distT="0" distB="0" distL="0" distR="0">
            <wp:extent cx="6188710" cy="2922270"/>
            <wp:effectExtent l="0" t="0" r="2540" b="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4E38A552">
      <w:pPr>
        <w:pStyle w:val="143"/>
        <w:rPr>
          <w:lang w:eastAsia="zh-CN"/>
        </w:rPr>
      </w:pPr>
      <w:r>
        <w:rPr>
          <w:rFonts w:hint="eastAsia"/>
          <w:lang w:eastAsia="zh-CN"/>
        </w:rPr>
        <w:t>来源：QYResearch 医疗研究中心</w:t>
      </w:r>
    </w:p>
    <w:p w14:paraId="08CA65EC">
      <w:pPr>
        <w:pStyle w:val="143"/>
        <w:rPr>
          <w:lang w:eastAsia="zh-CN"/>
        </w:rPr>
      </w:pPr>
    </w:p>
    <w:p w14:paraId="57B4BA57">
      <w:pPr>
        <w:pStyle w:val="145"/>
        <w:rPr>
          <w:lang w:eastAsia="zh-CN"/>
        </w:rPr>
      </w:pPr>
      <w:r>
        <w:rPr>
          <w:rFonts w:hint="eastAsia"/>
          <w:lang w:eastAsia="zh-CN"/>
        </w:rPr>
        <w:t>就产品应用而言，目前鼻塞是最主要的需求来源，占据大约59.8%的份额。</w:t>
      </w:r>
    </w:p>
    <w:p w14:paraId="4B5D90DE">
      <w:pPr>
        <w:pStyle w:val="145"/>
        <w:rPr>
          <w:lang w:eastAsia="zh-CN"/>
        </w:rPr>
      </w:pPr>
    </w:p>
    <w:p w14:paraId="5F8B78C0">
      <w:pPr>
        <w:pStyle w:val="148"/>
        <w:rPr>
          <w:lang w:eastAsia="zh-CN"/>
        </w:rPr>
      </w:pPr>
      <w:r>
        <w:rPr>
          <w:rFonts w:hint="eastAsia"/>
          <w:lang w:eastAsia="zh-CN"/>
        </w:rPr>
        <w:t>全球</w:t>
      </w:r>
      <w:r>
        <w:rPr>
          <w:lang w:eastAsia="zh-CN"/>
        </w:rPr>
        <w:t>外置鼻扩张器及鼻贴</w:t>
      </w:r>
      <w:r>
        <w:rPr>
          <w:rFonts w:hint="eastAsia"/>
          <w:lang w:eastAsia="zh-CN"/>
        </w:rPr>
        <w:t>规模，主要销售地区份额（按销售额）</w:t>
      </w:r>
    </w:p>
    <w:p w14:paraId="04A4515E">
      <w:pPr>
        <w:pStyle w:val="145"/>
        <w:rPr>
          <w:lang w:val="en-US" w:eastAsia="zh-CN"/>
        </w:rPr>
      </w:pPr>
      <w:r>
        <w:drawing>
          <wp:inline distT="0" distB="0" distL="0" distR="0">
            <wp:extent cx="6188710" cy="2922270"/>
            <wp:effectExtent l="0" t="0" r="2540" b="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6E2B1440">
      <w:pPr>
        <w:pStyle w:val="143"/>
        <w:rPr>
          <w:lang w:eastAsia="zh-CN"/>
        </w:rPr>
      </w:pPr>
      <w:r>
        <w:rPr>
          <w:rFonts w:hint="eastAsia"/>
          <w:lang w:eastAsia="zh-CN"/>
        </w:rPr>
        <w:t>来源：QYResearch 医疗研究中心</w:t>
      </w:r>
    </w:p>
    <w:p w14:paraId="5315F7D2">
      <w:pPr>
        <w:pStyle w:val="143"/>
      </w:pPr>
    </w:p>
    <w:p w14:paraId="0CD10F4E">
      <w:pPr>
        <w:pStyle w:val="148"/>
        <w:rPr>
          <w:lang w:eastAsia="zh-CN"/>
        </w:rPr>
      </w:pPr>
      <w:r>
        <w:rPr>
          <w:rFonts w:hint="eastAsia"/>
          <w:lang w:eastAsia="zh-CN"/>
        </w:rPr>
        <w:t>全球主要市场</w:t>
      </w:r>
      <w:r>
        <w:rPr>
          <w:lang w:eastAsia="zh-CN"/>
        </w:rPr>
        <w:t>外置鼻扩张器及鼻贴</w:t>
      </w:r>
      <w:r>
        <w:rPr>
          <w:rFonts w:hint="eastAsia"/>
          <w:lang w:eastAsia="zh-CN"/>
        </w:rPr>
        <w:t>规模</w:t>
      </w:r>
    </w:p>
    <w:p w14:paraId="4B44D8E9">
      <w:pPr>
        <w:pStyle w:val="145"/>
        <w:rPr>
          <w:lang w:val="en-US" w:eastAsia="zh-CN"/>
        </w:rPr>
      </w:pPr>
      <w:r>
        <w:drawing>
          <wp:inline distT="0" distB="0" distL="0" distR="0">
            <wp:extent cx="6188710" cy="2922270"/>
            <wp:effectExtent l="0" t="0" r="2540" b="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07A95001">
      <w:pPr>
        <w:pStyle w:val="145"/>
        <w:rPr>
          <w:lang w:eastAsia="zh-CN"/>
        </w:rPr>
      </w:pPr>
      <w:r>
        <w:rPr>
          <w:rFonts w:hint="eastAsia"/>
          <w:lang w:eastAsia="zh-CN"/>
        </w:rPr>
        <w:t>来源：QYResearch 医疗研究</w:t>
      </w:r>
      <w:bookmarkStart w:id="13" w:name="_GoBack"/>
      <w:bookmarkEnd w:id="13"/>
      <w:r>
        <w:rPr>
          <w:rFonts w:hint="eastAsia"/>
          <w:lang w:eastAsia="zh-CN"/>
        </w:rPr>
        <w:t>中心</w:t>
      </w:r>
      <w:bookmarkEnd w:id="0"/>
      <w:bookmarkEnd w:id="1"/>
      <w:bookmarkEnd w:id="2"/>
      <w:bookmarkEnd w:id="3"/>
      <w:bookmarkEnd w:id="4"/>
      <w:bookmarkEnd w:id="5"/>
      <w:bookmarkEnd w:id="6"/>
      <w:bookmarkEnd w:id="7"/>
      <w:bookmarkEnd w:id="8"/>
      <w:bookmarkEnd w:id="9"/>
      <w:bookmarkEnd w:id="10"/>
      <w:bookmarkEnd w:id="11"/>
      <w:bookmarkEnd w:id="12"/>
    </w:p>
    <w:sectPr>
      <w:headerReference r:id="rId6" w:type="first"/>
      <w:headerReference r:id="rId4"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9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821"/>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30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C7FD2"/>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B6"/>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DCE"/>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5F"/>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87A"/>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EE8"/>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6E8"/>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439"/>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736"/>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10A"/>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4FD"/>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39E"/>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B7E"/>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670"/>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17"/>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9A1"/>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1889"/>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64E"/>
    <w:rsid w:val="005177A3"/>
    <w:rsid w:val="005177FC"/>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2C19"/>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65F"/>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35F"/>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A3A"/>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84F"/>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139"/>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839"/>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155"/>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5B9"/>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4F40"/>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810"/>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2E4F"/>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7BB"/>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2BC"/>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2EE"/>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490"/>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22"/>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96E"/>
    <w:rsid w:val="00A81C00"/>
    <w:rsid w:val="00A82116"/>
    <w:rsid w:val="00A821FD"/>
    <w:rsid w:val="00A8220F"/>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AD7"/>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066"/>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30E"/>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19"/>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899"/>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B51"/>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634"/>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64C"/>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CF0"/>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5F58"/>
    <w:rsid w:val="00CA6016"/>
    <w:rsid w:val="00CA6097"/>
    <w:rsid w:val="00CA624B"/>
    <w:rsid w:val="00CA698E"/>
    <w:rsid w:val="00CA6D79"/>
    <w:rsid w:val="00CA6DDC"/>
    <w:rsid w:val="00CA6DEA"/>
    <w:rsid w:val="00CA6EF5"/>
    <w:rsid w:val="00CA700F"/>
    <w:rsid w:val="00CA70AA"/>
    <w:rsid w:val="00CA748A"/>
    <w:rsid w:val="00CA74CA"/>
    <w:rsid w:val="00CA792B"/>
    <w:rsid w:val="00CA7BD9"/>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0F"/>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761"/>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2F0"/>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0A2"/>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925"/>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612"/>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48"/>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29"/>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0FD"/>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59"/>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515B62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目录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hart" Target="charts/chart2.xml"/><Relationship Id="rId8" Type="http://schemas.openxmlformats.org/officeDocument/2006/relationships/chart" Target="charts/chart1.xml"/><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chart" Target="charts/chart5.xml"/><Relationship Id="rId12" Type="http://schemas.openxmlformats.org/officeDocument/2006/relationships/chart" Target="charts/chart4.xml"/><Relationship Id="rId11" Type="http://schemas.openxmlformats.org/officeDocument/2006/relationships/chart" Target="charts/chart3.xml"/><Relationship Id="rId10" Type="http://schemas.openxmlformats.org/officeDocument/2006/relationships/image" Target="media/image3.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Administrator\Desktop\&#23459;&#20256;&#25991;&#20214;\&#35266;&#28857;&#25968;&#25454;&#22270;&#34920;&#27169;&#26495;-&#27169;&#26495;%2020240612%20&#20026;&#20934;.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Administrator\Desktop\&#23459;&#20256;&#25991;&#20214;\&#35266;&#28857;&#25968;&#25454;&#22270;&#34920;&#27169;&#26495;-&#27169;&#26495;%2020240612%20&#20026;&#20934;.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Administrator\Desktop\&#23459;&#20256;&#25991;&#20214;\&#35266;&#28857;&#25968;&#25454;&#22270;&#34920;&#27169;&#26495;-&#27169;&#26495;%2020240612%20&#20026;&#20934;.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Administrator\Desktop\&#23459;&#20256;&#25991;&#20214;\&#35266;&#28857;&#25968;&#25454;&#22270;&#34920;&#27169;&#26495;-&#27169;&#26495;%2020240612%20&#20026;&#20934;.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Administrator\Desktop\&#23459;&#20256;&#25991;&#20214;\&#35266;&#28857;&#25968;&#25454;&#22270;&#34920;&#27169;&#26495;-&#27169;&#26495;%2020240612%20&#20026;&#20934;.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宋体" panose="02010600030101010101" charset="-122"/>
                <a:cs typeface="+mn-cs"/>
              </a:defRPr>
            </a:pPr>
            <a:r>
              <a:rPr lang="zh-CN" sz="1100"/>
              <a:t>全球市场主要企业排名</a:t>
            </a:r>
            <a:endParaRPr lang="en-US" sz="1100"/>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企业收入!$I$1</c:f>
              <c:strCache>
                <c:ptCount val="1"/>
                <c:pt idx="0">
                  <c:v>2023</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Lbls>
            <c:delete val="1"/>
          </c:dLbls>
          <c:cat>
            <c:strRef>
              <c:f>企业收入!$H$2:$H$21</c:f>
              <c:strCache>
                <c:ptCount val="9"/>
                <c:pt idx="0">
                  <c:v>Foundation Consumer Healthcare</c:v>
                </c:pt>
                <c:pt idx="1">
                  <c:v>Equate (Walmart)</c:v>
                </c:pt>
                <c:pt idx="2">
                  <c:v>ASO Medical</c:v>
                </c:pt>
                <c:pt idx="3">
                  <c:v>石家庄市宏泽卫生用品厂</c:v>
                </c:pt>
                <c:pt idx="4">
                  <c:v>中美史克</c:v>
                </c:pt>
                <c:pt idx="5">
                  <c:v>Iris Ohyama</c:v>
                </c:pt>
                <c:pt idx="6">
                  <c:v>振德医疗</c:v>
                </c:pt>
                <c:pt idx="7">
                  <c:v>Health Right Products</c:v>
                </c:pt>
                <c:pt idx="8">
                  <c:v>AirWare Labs</c:v>
                </c:pt>
              </c:strCache>
            </c:strRef>
          </c:cat>
          <c:val>
            <c:numRef>
              <c:f>企业收入!$I$2:$I$21</c:f>
              <c:numCache>
                <c:formatCode>0.0%</c:formatCode>
                <c:ptCount val="9"/>
                <c:pt idx="0">
                  <c:v>1.42763489662128</c:v>
                </c:pt>
                <c:pt idx="1">
                  <c:v>0.376668347621449</c:v>
                </c:pt>
                <c:pt idx="2">
                  <c:v>0.194452849218356</c:v>
                </c:pt>
                <c:pt idx="3">
                  <c:v>0.150428643469491</c:v>
                </c:pt>
                <c:pt idx="4">
                  <c:v>0.107177676920491</c:v>
                </c:pt>
                <c:pt idx="5">
                  <c:v>0.0721297697091948</c:v>
                </c:pt>
                <c:pt idx="6">
                  <c:v>0.0679610018490503</c:v>
                </c:pt>
                <c:pt idx="7">
                  <c:v>0.0666834762144898</c:v>
                </c:pt>
                <c:pt idx="8">
                  <c:v>0.0537569339384771</c:v>
                </c:pt>
              </c:numCache>
            </c:numRef>
          </c:val>
        </c:ser>
        <c:dLbls>
          <c:showLegendKey val="0"/>
          <c:showVal val="0"/>
          <c:showCatName val="0"/>
          <c:showSerName val="0"/>
          <c:showPercent val="0"/>
          <c:showBubbleSize val="0"/>
        </c:dLbls>
        <c:gapWidth val="45"/>
        <c:axId val="1272139183"/>
        <c:axId val="1326546959"/>
      </c:barChart>
      <c:catAx>
        <c:axId val="1272139183"/>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宋体" panose="02010600030101010101" charset="-122"/>
                <a:cs typeface="+mn-cs"/>
              </a:defRPr>
            </a:pPr>
          </a:p>
        </c:txPr>
        <c:crossAx val="1326546959"/>
        <c:crosses val="autoZero"/>
        <c:auto val="1"/>
        <c:lblAlgn val="ctr"/>
        <c:lblOffset val="100"/>
        <c:noMultiLvlLbl val="0"/>
      </c:catAx>
      <c:valAx>
        <c:axId val="1326546959"/>
        <c:scaling>
          <c:orientation val="minMax"/>
        </c:scaling>
        <c:delete val="0"/>
        <c:axPos val="t"/>
        <c:majorGridlines>
          <c:spPr>
            <a:ln w="9525" cap="flat" cmpd="sng" algn="ctr">
              <a:noFill/>
              <a:round/>
            </a:ln>
            <a:effectLst/>
          </c:spPr>
        </c:majorGridlines>
        <c:numFmt formatCode="0.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宋体" panose="02010600030101010101" charset="-122"/>
                <a:cs typeface="+mn-cs"/>
              </a:defRPr>
            </a:pPr>
          </a:p>
        </c:txPr>
        <c:crossAx val="1272139183"/>
        <c:crosses val="autoZero"/>
        <c:crossBetween val="between"/>
      </c:valAx>
      <c:spPr>
        <a:noFill/>
        <a:ln>
          <a:noFill/>
        </a:ln>
        <a:effectLst/>
      </c:spPr>
    </c:plotArea>
    <c:plotVisOnly val="1"/>
    <c:dispBlanksAs val="gap"/>
    <c:showDLblsOverMax val="0"/>
    <c:extLst>
      <c:ext uri="{0b15fc19-7d7d-44ad-8c2d-2c3a37ce22c3}">
        <chartProps xmlns="https://web.wps.cn/et/2018/main" chartId="{81c99a8d-b6da-4ad3-b127-3c64a9445084}"/>
      </c:ext>
    </c:extLst>
  </c:chart>
  <c:spPr>
    <a:solidFill>
      <a:schemeClr val="bg1"/>
    </a:solidFill>
    <a:ln w="9525" cap="flat" cmpd="sng" algn="ctr">
      <a:noFill/>
      <a:round/>
    </a:ln>
    <a:effectLst/>
  </c:spPr>
  <c:txPr>
    <a:bodyPr/>
    <a:lstStyle/>
    <a:p>
      <a:pPr>
        <a:defRPr lang="zh-CN" baseline="0">
          <a:latin typeface="Times New Roman" panose="02020603050405020304" charset="0"/>
          <a:ea typeface="宋体" panose="02010600030101010101"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分类!$R$2</c:f>
              <c:strCache>
                <c:ptCount val="1"/>
                <c:pt idx="0">
                  <c:v>成人型</c:v>
                </c:pt>
              </c:strCache>
            </c:strRef>
          </c:tx>
          <c:spPr>
            <a:solidFill>
              <a:srgbClr val="002060"/>
            </a:solidFill>
            <a:ln>
              <a:noFill/>
            </a:ln>
            <a:effectLst/>
          </c:spPr>
          <c:invertIfNegative val="0"/>
          <c:dLbls>
            <c:delete val="1"/>
          </c:dLbls>
          <c:cat>
            <c:numRef>
              <c:f>分类!$S$1:$AD$1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分类!$S$2:$AD$2</c:f>
              <c:numCache>
                <c:formatCode>0.0%</c:formatCode>
                <c:ptCount val="12"/>
                <c:pt idx="0">
                  <c:v>0.76348009583892</c:v>
                </c:pt>
                <c:pt idx="1">
                  <c:v>0.76314511232544</c:v>
                </c:pt>
                <c:pt idx="2">
                  <c:v>0.762001657999849</c:v>
                </c:pt>
                <c:pt idx="3">
                  <c:v>0.761507099173849</c:v>
                </c:pt>
                <c:pt idx="4">
                  <c:v>0.760867372667675</c:v>
                </c:pt>
                <c:pt idx="5">
                  <c:v>0.7598733676296</c:v>
                </c:pt>
                <c:pt idx="6">
                  <c:v>0.759036687599531</c:v>
                </c:pt>
                <c:pt idx="7">
                  <c:v>0.757771947641616</c:v>
                </c:pt>
                <c:pt idx="8">
                  <c:v>0.756611009027722</c:v>
                </c:pt>
                <c:pt idx="9">
                  <c:v>0.755676383225092</c:v>
                </c:pt>
                <c:pt idx="10">
                  <c:v>0.754331440002858</c:v>
                </c:pt>
                <c:pt idx="11">
                  <c:v>0.753462041589607</c:v>
                </c:pt>
              </c:numCache>
            </c:numRef>
          </c:val>
        </c:ser>
        <c:ser>
          <c:idx val="1"/>
          <c:order val="1"/>
          <c:tx>
            <c:strRef>
              <c:f>分类!$R$3</c:f>
              <c:strCache>
                <c:ptCount val="1"/>
                <c:pt idx="0">
                  <c:v>儿童型</c:v>
                </c:pt>
              </c:strCache>
            </c:strRef>
          </c:tx>
          <c:spPr>
            <a:solidFill>
              <a:schemeClr val="bg1">
                <a:lumMod val="50000"/>
              </a:schemeClr>
            </a:solidFill>
            <a:ln>
              <a:noFill/>
            </a:ln>
            <a:effectLst/>
          </c:spPr>
          <c:invertIfNegative val="0"/>
          <c:dLbls>
            <c:delete val="1"/>
          </c:dLbls>
          <c:cat>
            <c:numRef>
              <c:f>分类!$S$1:$AD$1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分类!$S$3:$AD$3</c:f>
              <c:numCache>
                <c:formatCode>0.0%</c:formatCode>
                <c:ptCount val="12"/>
                <c:pt idx="0">
                  <c:v>0.23651990416108</c:v>
                </c:pt>
                <c:pt idx="1">
                  <c:v>0.23685488767456</c:v>
                </c:pt>
                <c:pt idx="2">
                  <c:v>0.237998342000151</c:v>
                </c:pt>
                <c:pt idx="3">
                  <c:v>0.238492900826151</c:v>
                </c:pt>
                <c:pt idx="4">
                  <c:v>0.239132627332325</c:v>
                </c:pt>
                <c:pt idx="5">
                  <c:v>0.2401266323704</c:v>
                </c:pt>
                <c:pt idx="6">
                  <c:v>0.240963312400469</c:v>
                </c:pt>
                <c:pt idx="7">
                  <c:v>0.242228052358384</c:v>
                </c:pt>
                <c:pt idx="8">
                  <c:v>0.243388990972278</c:v>
                </c:pt>
                <c:pt idx="9">
                  <c:v>0.244323616774908</c:v>
                </c:pt>
                <c:pt idx="10">
                  <c:v>0.245668559997142</c:v>
                </c:pt>
                <c:pt idx="11">
                  <c:v>0.246537958410393</c:v>
                </c:pt>
              </c:numCache>
            </c:numRef>
          </c:val>
        </c:ser>
        <c:ser>
          <c:idx val="2"/>
          <c:order val="2"/>
          <c:tx>
            <c:strRef>
              <c:f>分类!$R$4</c:f>
              <c:strCache>
                <c:ptCount val="1"/>
                <c:pt idx="0">
                  <c:v/>
                </c:pt>
              </c:strCache>
            </c:strRef>
          </c:tx>
          <c:spPr>
            <a:solidFill>
              <a:srgbClr val="0070C0"/>
            </a:solidFill>
            <a:ln>
              <a:noFill/>
            </a:ln>
            <a:effectLst/>
          </c:spPr>
          <c:invertIfNegative val="0"/>
          <c:dLbls>
            <c:delete val="1"/>
          </c:dLbls>
          <c:cat>
            <c:numRef>
              <c:f>分类!$S$1:$AD$1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分类!$S$4:$AD$4</c:f>
            </c:numRef>
          </c:val>
        </c:ser>
        <c:ser>
          <c:idx val="3"/>
          <c:order val="3"/>
          <c:tx>
            <c:strRef>
              <c:f>分类!$R$5</c:f>
              <c:strCache>
                <c:ptCount val="1"/>
                <c:pt idx="0">
                  <c:v>0</c:v>
                </c:pt>
              </c:strCache>
            </c:strRef>
          </c:tx>
          <c:spPr>
            <a:solidFill>
              <a:srgbClr val="FFC000"/>
            </a:solidFill>
            <a:ln>
              <a:noFill/>
            </a:ln>
            <a:effectLst/>
          </c:spPr>
          <c:invertIfNegative val="0"/>
          <c:dLbls>
            <c:delete val="1"/>
          </c:dLbls>
          <c:cat>
            <c:numRef>
              <c:f>分类!$S$1:$AD$1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分类!$S$5:$AD$5</c:f>
            </c:numRef>
          </c:val>
        </c:ser>
        <c:ser>
          <c:idx val="4"/>
          <c:order val="4"/>
          <c:tx>
            <c:strRef>
              <c:f>分类!$R$6</c:f>
              <c:strCache>
                <c:ptCount val="1"/>
                <c:pt idx="0">
                  <c:v>0</c:v>
                </c:pt>
              </c:strCache>
            </c:strRef>
          </c:tx>
          <c:spPr>
            <a:solidFill>
              <a:schemeClr val="tx1">
                <a:lumMod val="65000"/>
                <a:lumOff val="35000"/>
              </a:schemeClr>
            </a:solidFill>
            <a:ln>
              <a:noFill/>
            </a:ln>
            <a:effectLst/>
          </c:spPr>
          <c:invertIfNegative val="0"/>
          <c:dLbls>
            <c:delete val="1"/>
          </c:dLbls>
          <c:cat>
            <c:numRef>
              <c:f>分类!$S$1:$AD$1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分类!$S$6:$AD$6</c:f>
            </c:numRef>
          </c:val>
        </c:ser>
        <c:ser>
          <c:idx val="5"/>
          <c:order val="5"/>
          <c:tx>
            <c:strRef>
              <c:f>分类!$R$7</c:f>
              <c:strCache>
                <c:ptCount val="1"/>
                <c:pt idx="0">
                  <c:v>0</c:v>
                </c:pt>
              </c:strCache>
            </c:strRef>
          </c:tx>
          <c:spPr>
            <a:solidFill>
              <a:srgbClr val="C00000"/>
            </a:solidFill>
            <a:ln>
              <a:noFill/>
            </a:ln>
            <a:effectLst/>
          </c:spPr>
          <c:invertIfNegative val="0"/>
          <c:dLbls>
            <c:delete val="1"/>
          </c:dLbls>
          <c:cat>
            <c:numRef>
              <c:f>分类!$S$1:$AD$1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分类!$S$7:$AD$7</c:f>
            </c:numRef>
          </c:val>
        </c:ser>
        <c:ser>
          <c:idx val="6"/>
          <c:order val="6"/>
          <c:tx>
            <c:strRef>
              <c:f>分类!$R$8</c:f>
              <c:strCache>
                <c:ptCount val="1"/>
                <c:pt idx="0">
                  <c:v>0</c:v>
                </c:pt>
              </c:strCache>
            </c:strRef>
          </c:tx>
          <c:spPr>
            <a:solidFill>
              <a:srgbClr val="7030A0"/>
            </a:solidFill>
            <a:ln>
              <a:noFill/>
            </a:ln>
            <a:effectLst/>
          </c:spPr>
          <c:invertIfNegative val="0"/>
          <c:dLbls>
            <c:delete val="1"/>
          </c:dLbls>
          <c:cat>
            <c:numRef>
              <c:f>分类!$S$1:$AD$1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分类!$S$8:$AD$8</c:f>
            </c:numRef>
          </c:val>
        </c:ser>
        <c:ser>
          <c:idx val="7"/>
          <c:order val="7"/>
          <c:tx>
            <c:strRef>
              <c:f>分类!$R$9</c:f>
              <c:strCache>
                <c:ptCount val="1"/>
                <c:pt idx="0">
                  <c:v>0</c:v>
                </c:pt>
              </c:strCache>
            </c:strRef>
          </c:tx>
          <c:spPr>
            <a:solidFill>
              <a:schemeClr val="tx2">
                <a:lumMod val="60000"/>
                <a:lumOff val="40000"/>
              </a:schemeClr>
            </a:solidFill>
            <a:ln>
              <a:noFill/>
            </a:ln>
            <a:effectLst/>
          </c:spPr>
          <c:invertIfNegative val="0"/>
          <c:dLbls>
            <c:delete val="1"/>
          </c:dLbls>
          <c:cat>
            <c:numRef>
              <c:f>分类!$S$1:$AD$1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分类!$S$9:$AD$9</c:f>
            </c:numRef>
          </c:val>
        </c:ser>
        <c:ser>
          <c:idx val="8"/>
          <c:order val="8"/>
          <c:tx>
            <c:strRef>
              <c:f>分类!$R$10</c:f>
              <c:strCache>
                <c:ptCount val="1"/>
                <c:pt idx="0">
                  <c:v>0</c:v>
                </c:pt>
              </c:strCache>
            </c:strRef>
          </c:tx>
          <c:spPr>
            <a:solidFill>
              <a:schemeClr val="accent6">
                <a:lumMod val="75000"/>
              </a:schemeClr>
            </a:solidFill>
            <a:ln>
              <a:noFill/>
            </a:ln>
            <a:effectLst/>
          </c:spPr>
          <c:invertIfNegative val="0"/>
          <c:dLbls>
            <c:delete val="1"/>
          </c:dLbls>
          <c:cat>
            <c:numRef>
              <c:f>分类!$S$1:$AD$1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分类!$S$10:$AD$10</c:f>
            </c:numRef>
          </c:val>
        </c:ser>
        <c:dLbls>
          <c:showLegendKey val="0"/>
          <c:showVal val="0"/>
          <c:showCatName val="0"/>
          <c:showSerName val="0"/>
          <c:showPercent val="0"/>
          <c:showBubbleSize val="0"/>
        </c:dLbls>
        <c:gapWidth val="45"/>
        <c:overlap val="100"/>
        <c:axId val="1897692240"/>
        <c:axId val="1897707216"/>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fb31670c-847f-44f1-a2f2-6a09280d28d0}"/>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691853448275862"/>
          <c:y val="0.03175"/>
          <c:w val="0.897009594053696"/>
          <c:h val="0.755441666666667"/>
        </c:manualLayout>
      </c:layout>
      <c:barChart>
        <c:barDir val="col"/>
        <c:grouping val="stacked"/>
        <c:varyColors val="0"/>
        <c:ser>
          <c:idx val="0"/>
          <c:order val="0"/>
          <c:tx>
            <c:strRef>
              <c:f>应用!$A$2</c:f>
              <c:strCache>
                <c:ptCount val="1"/>
                <c:pt idx="0">
                  <c:v>鼻塞</c:v>
                </c:pt>
              </c:strCache>
            </c:strRef>
          </c:tx>
          <c:spPr>
            <a:solidFill>
              <a:srgbClr val="002060"/>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应用!$B$2:$M$2</c:f>
              <c:numCache>
                <c:formatCode>#,##0_);[Red]\(#,##0\)</c:formatCode>
                <c:ptCount val="12"/>
                <c:pt idx="0">
                  <c:v>271.09</c:v>
                </c:pt>
                <c:pt idx="1">
                  <c:v>294.65</c:v>
                </c:pt>
                <c:pt idx="2">
                  <c:v>317.3</c:v>
                </c:pt>
                <c:pt idx="3">
                  <c:v>334.58</c:v>
                </c:pt>
                <c:pt idx="4">
                  <c:v>356.02</c:v>
                </c:pt>
                <c:pt idx="5">
                  <c:v>378.47</c:v>
                </c:pt>
                <c:pt idx="6">
                  <c:v>399.05</c:v>
                </c:pt>
                <c:pt idx="7">
                  <c:v>425.28</c:v>
                </c:pt>
                <c:pt idx="8">
                  <c:v>450.77</c:v>
                </c:pt>
                <c:pt idx="9">
                  <c:v>477.23</c:v>
                </c:pt>
                <c:pt idx="10">
                  <c:v>505.1</c:v>
                </c:pt>
                <c:pt idx="11">
                  <c:v>534.09</c:v>
                </c:pt>
              </c:numCache>
            </c:numRef>
          </c:val>
        </c:ser>
        <c:ser>
          <c:idx val="1"/>
          <c:order val="1"/>
          <c:tx>
            <c:strRef>
              <c:f>应用!$A$3</c:f>
              <c:strCache>
                <c:ptCount val="1"/>
                <c:pt idx="0">
                  <c:v>打鼾</c:v>
                </c:pt>
              </c:strCache>
            </c:strRef>
          </c:tx>
          <c:spPr>
            <a:solidFill>
              <a:schemeClr val="bg1">
                <a:lumMod val="50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应用!$B$3:$M$3</c:f>
              <c:numCache>
                <c:formatCode>#,##0_);[Red]\(#,##0\)</c:formatCode>
                <c:ptCount val="12"/>
                <c:pt idx="0">
                  <c:v>127.45</c:v>
                </c:pt>
                <c:pt idx="1">
                  <c:v>137.95</c:v>
                </c:pt>
                <c:pt idx="2">
                  <c:v>147.48</c:v>
                </c:pt>
                <c:pt idx="3">
                  <c:v>154.99</c:v>
                </c:pt>
                <c:pt idx="4">
                  <c:v>164.61</c:v>
                </c:pt>
                <c:pt idx="5">
                  <c:v>174.17</c:v>
                </c:pt>
                <c:pt idx="6">
                  <c:v>182.88</c:v>
                </c:pt>
                <c:pt idx="7">
                  <c:v>194.32</c:v>
                </c:pt>
                <c:pt idx="8">
                  <c:v>205.27</c:v>
                </c:pt>
                <c:pt idx="9">
                  <c:v>216.52</c:v>
                </c:pt>
                <c:pt idx="10">
                  <c:v>227.96</c:v>
                </c:pt>
                <c:pt idx="11">
                  <c:v>239.66</c:v>
                </c:pt>
              </c:numCache>
            </c:numRef>
          </c:val>
        </c:ser>
        <c:ser>
          <c:idx val="2"/>
          <c:order val="2"/>
          <c:tx>
            <c:strRef>
              <c:f>应用!$A$4</c:f>
              <c:strCache>
                <c:ptCount val="1"/>
                <c:pt idx="0">
                  <c:v>其他</c:v>
                </c:pt>
              </c:strCache>
            </c:strRef>
          </c:tx>
          <c:spPr>
            <a:solidFill>
              <a:schemeClr val="accent6">
                <a:lumMod val="75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应用!$B$4:$M$4</c:f>
              <c:numCache>
                <c:formatCode>#,##0_);[Red]\(#,##0\)</c:formatCode>
                <c:ptCount val="12"/>
                <c:pt idx="0">
                  <c:v>56.39</c:v>
                </c:pt>
                <c:pt idx="1">
                  <c:v>61.5</c:v>
                </c:pt>
                <c:pt idx="2">
                  <c:v>65.98</c:v>
                </c:pt>
                <c:pt idx="3">
                  <c:v>69.65</c:v>
                </c:pt>
                <c:pt idx="4">
                  <c:v>74.27</c:v>
                </c:pt>
                <c:pt idx="5">
                  <c:v>79.11</c:v>
                </c:pt>
                <c:pt idx="6">
                  <c:v>83.69</c:v>
                </c:pt>
                <c:pt idx="7">
                  <c:v>89.36</c:v>
                </c:pt>
                <c:pt idx="8">
                  <c:v>94.98</c:v>
                </c:pt>
                <c:pt idx="9">
                  <c:v>100.77</c:v>
                </c:pt>
                <c:pt idx="10">
                  <c:v>106.73</c:v>
                </c:pt>
                <c:pt idx="11">
                  <c:v>113.01</c:v>
                </c:pt>
              </c:numCache>
            </c:numRef>
          </c:val>
        </c:ser>
        <c:ser>
          <c:idx val="3"/>
          <c:order val="3"/>
          <c:tx>
            <c:strRef>
              <c:f>应用!$A$5</c:f>
              <c:strCache>
                <c:ptCount val="1"/>
                <c:pt idx="0">
                  <c:v/>
                </c:pt>
              </c:strCache>
            </c:strRef>
          </c:tx>
          <c:spPr>
            <a:solidFill>
              <a:schemeClr val="tx2">
                <a:lumMod val="60000"/>
                <a:lumOff val="40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应用!$B$5:$M$5</c:f>
            </c:numRef>
          </c:val>
        </c:ser>
        <c:ser>
          <c:idx val="4"/>
          <c:order val="4"/>
          <c:tx>
            <c:strRef>
              <c:f>应用!$A$6</c:f>
              <c:strCache>
                <c:ptCount val="1"/>
                <c:pt idx="0">
                  <c:v/>
                </c:pt>
              </c:strCache>
            </c:strRef>
          </c:tx>
          <c:spPr>
            <a:solidFill>
              <a:schemeClr val="accent1">
                <a:lumMod val="75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应用!$B$6:$M$6</c:f>
            </c:numRef>
          </c:val>
        </c:ser>
        <c:ser>
          <c:idx val="5"/>
          <c:order val="5"/>
          <c:tx>
            <c:strRef>
              <c:f>应用!$A$7</c:f>
              <c:strCache>
                <c:ptCount val="1"/>
                <c:pt idx="0">
                  <c:v/>
                </c:pt>
              </c:strCache>
            </c:strRef>
          </c:tx>
          <c:spPr>
            <a:solidFill>
              <a:schemeClr val="accent4">
                <a:lumMod val="60000"/>
                <a:lumOff val="40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应用!$B$7:$M$7</c:f>
            </c:numRef>
          </c:val>
        </c:ser>
        <c:ser>
          <c:idx val="6"/>
          <c:order val="6"/>
          <c:tx>
            <c:strRef>
              <c:f>应用!$A$8</c:f>
              <c:strCache>
                <c:ptCount val="1"/>
                <c:pt idx="0">
                  <c:v/>
                </c:pt>
              </c:strCache>
            </c:strRef>
          </c:tx>
          <c:spPr>
            <a:solidFill>
              <a:schemeClr val="accent2">
                <a:lumMod val="60000"/>
                <a:lumOff val="40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应用!$B$8:$M$8</c:f>
            </c:numRef>
          </c:val>
        </c:ser>
        <c:ser>
          <c:idx val="7"/>
          <c:order val="7"/>
          <c:tx>
            <c:strRef>
              <c:f>应用!$A$9</c:f>
              <c:strCache>
                <c:ptCount val="1"/>
                <c:pt idx="0">
                  <c:v/>
                </c:pt>
              </c:strCache>
            </c:strRef>
          </c:tx>
          <c:spPr>
            <a:solidFill>
              <a:schemeClr val="bg2">
                <a:lumMod val="50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应用!$B$9:$M$9</c:f>
            </c:numRef>
          </c:val>
        </c:ser>
        <c:ser>
          <c:idx val="8"/>
          <c:order val="8"/>
          <c:tx>
            <c:strRef>
              <c:f>应用!$A$10</c:f>
              <c:strCache>
                <c:ptCount val="1"/>
                <c:pt idx="0">
                  <c:v/>
                </c:pt>
              </c:strCache>
            </c:strRef>
          </c:tx>
          <c:spPr>
            <a:solidFill>
              <a:schemeClr val="accent5">
                <a:lumMod val="60000"/>
                <a:lumOff val="40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应用!$B$10:$M$10</c:f>
            </c:numRef>
          </c:val>
        </c:ser>
        <c:dLbls>
          <c:showLegendKey val="0"/>
          <c:showVal val="0"/>
          <c:showCatName val="0"/>
          <c:showSerName val="0"/>
          <c:showPercent val="0"/>
          <c:showBubbleSize val="0"/>
        </c:dLbls>
        <c:gapWidth val="25"/>
        <c:overlap val="100"/>
        <c:axId val="2101581920"/>
        <c:axId val="2101559456"/>
      </c:barChart>
      <c:lineChart>
        <c:grouping val="stacked"/>
        <c:varyColors val="0"/>
        <c:ser>
          <c:idx val="9"/>
          <c:order val="9"/>
          <c:tx>
            <c:strRef>
              <c:f>应用!$A$11</c:f>
              <c:strCache>
                <c:ptCount val="1"/>
                <c:pt idx="0">
                  <c:v>总和</c:v>
                </c:pt>
              </c:strCache>
            </c:strRef>
          </c:tx>
          <c:spPr>
            <a:ln w="28575" cap="rnd">
              <a:solidFill>
                <a:srgbClr val="002060"/>
              </a:solidFill>
              <a:round/>
            </a:ln>
            <a:effectLst/>
          </c:spPr>
          <c:marker>
            <c:symbol val="diamond"/>
            <c:size val="8"/>
            <c:spPr>
              <a:solidFill>
                <a:srgbClr val="FFC000"/>
              </a:solidFill>
              <a:ln w="9525">
                <a:solidFill>
                  <a:schemeClr val="accent4">
                    <a:lumMod val="60000"/>
                  </a:schemeClr>
                </a:solidFill>
              </a:ln>
              <a:effectLst/>
            </c:spPr>
          </c:marker>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应用!$B$11:$M$11</c:f>
              <c:numCache>
                <c:formatCode>#,##0_);[Red]\(#,##0\)</c:formatCode>
                <c:ptCount val="12"/>
                <c:pt idx="0">
                  <c:v>454.93</c:v>
                </c:pt>
                <c:pt idx="1">
                  <c:v>494.1</c:v>
                </c:pt>
                <c:pt idx="2">
                  <c:v>530.76</c:v>
                </c:pt>
                <c:pt idx="3">
                  <c:v>559.22</c:v>
                </c:pt>
                <c:pt idx="4">
                  <c:v>594.9</c:v>
                </c:pt>
                <c:pt idx="5">
                  <c:v>631.75</c:v>
                </c:pt>
                <c:pt idx="6">
                  <c:v>665.62</c:v>
                </c:pt>
                <c:pt idx="7">
                  <c:v>708.96</c:v>
                </c:pt>
                <c:pt idx="8">
                  <c:v>751.02</c:v>
                </c:pt>
                <c:pt idx="9">
                  <c:v>794.52</c:v>
                </c:pt>
                <c:pt idx="10">
                  <c:v>839.79</c:v>
                </c:pt>
                <c:pt idx="11">
                  <c:v>886.76</c:v>
                </c:pt>
              </c:numCache>
            </c:numRef>
          </c:val>
          <c:smooth val="0"/>
        </c:ser>
        <c:dLbls>
          <c:showLegendKey val="0"/>
          <c:showVal val="0"/>
          <c:showCatName val="0"/>
          <c:showSerName val="0"/>
          <c:showPercent val="0"/>
          <c:showBubbleSize val="0"/>
        </c:dLbls>
        <c:marker val="1"/>
        <c:smooth val="0"/>
        <c:axId val="2101602720"/>
        <c:axId val="2101608960"/>
      </c:line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59456"/>
        <c:crosses val="autoZero"/>
        <c:auto val="1"/>
        <c:lblAlgn val="ctr"/>
        <c:lblOffset val="100"/>
        <c:noMultiLvlLbl val="0"/>
      </c:catAx>
      <c:valAx>
        <c:axId val="2101559456"/>
        <c:scaling>
          <c:orientation val="minMax"/>
        </c:scaling>
        <c:delete val="0"/>
        <c:axPos val="l"/>
        <c:majorGridlines>
          <c:spPr>
            <a:ln w="9525" cap="flat" cmpd="sng" algn="ctr">
              <a:noFill/>
              <a:round/>
            </a:ln>
            <a:effectLst/>
          </c:spPr>
        </c:majorGridlines>
        <c:numFmt formatCode="#,##0_);[Red]\(#,##0\)"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581920"/>
        <c:crosses val="autoZero"/>
        <c:crossBetween val="between"/>
      </c:valAx>
      <c:catAx>
        <c:axId val="2101602720"/>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608960"/>
        <c:crosses val="autoZero"/>
        <c:auto val="1"/>
        <c:lblAlgn val="ctr"/>
        <c:lblOffset val="100"/>
        <c:noMultiLvlLbl val="0"/>
      </c:catAx>
      <c:valAx>
        <c:axId val="2101608960"/>
        <c:scaling>
          <c:orientation val="minMax"/>
        </c:scaling>
        <c:delete val="0"/>
        <c:axPos val="r"/>
        <c:numFmt formatCode="0.0%"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602720"/>
        <c:crosses val="max"/>
        <c:crossBetween val="between"/>
      </c:valAx>
      <c:spPr>
        <a:noFill/>
        <a:ln>
          <a:noFill/>
        </a:ln>
        <a:effectLst/>
      </c:spPr>
    </c:plotArea>
    <c:legend>
      <c:legendPos val="b"/>
      <c:layout>
        <c:manualLayout>
          <c:xMode val="edge"/>
          <c:yMode val="edge"/>
          <c:x val="0.0695485312899106"/>
          <c:y val="0.865502222222222"/>
          <c:w val="0.860902937420179"/>
          <c:h val="0.113331111111111"/>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0126f116-58ce-43d7-a2c5-ba613dc01881}"/>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Book Antiqua" panose="02040602050305030304" pitchFamily="1" charset="0"/>
                <a:ea typeface="+mn-ea"/>
                <a:cs typeface="+mn-cs"/>
              </a:defRPr>
            </a:pPr>
            <a:r>
              <a:rPr lang="en-US" altLang="zh-CN" sz="1200">
                <a:latin typeface="Book Antiqua" panose="02040602050305030304" pitchFamily="1" charset="0"/>
              </a:rPr>
              <a:t>Market Size By Region, 2019 Vs 2024 VS 2030</a:t>
            </a:r>
            <a:endParaRPr lang="zh-CN" altLang="en-US" sz="1200">
              <a:latin typeface="Book Antiqua" panose="02040602050305030304" pitchFamily="1" charset="0"/>
            </a:endParaRPr>
          </a:p>
        </c:rich>
      </c:tx>
      <c:layout/>
      <c:overlay val="0"/>
      <c:spPr>
        <a:noFill/>
        <a:ln>
          <a:noFill/>
        </a:ln>
        <a:effectLst/>
      </c:spPr>
    </c:title>
    <c:autoTitleDeleted val="0"/>
    <c:plotArea>
      <c:layout/>
      <c:barChart>
        <c:barDir val="col"/>
        <c:grouping val="clustered"/>
        <c:varyColors val="0"/>
        <c:ser>
          <c:idx val="0"/>
          <c:order val="0"/>
          <c:tx>
            <c:strRef>
              <c:f>'地区-消费'!$AE$1</c:f>
              <c:strCache>
                <c:ptCount val="1"/>
                <c:pt idx="0">
                  <c:v>2019</c:v>
                </c:pt>
              </c:strCache>
            </c:strRef>
          </c:tx>
          <c:spPr>
            <a:solidFill>
              <a:srgbClr val="FFC000"/>
            </a:solidFill>
            <a:ln>
              <a:noFill/>
            </a:ln>
            <a:effectLst/>
          </c:spPr>
          <c:invertIfNegative val="0"/>
          <c:dLbls>
            <c:delete val="1"/>
          </c:dLbls>
          <c:cat>
            <c:strRef>
              <c:f>'地区-消费'!$AD$2:$AD$10</c:f>
              <c:strCache>
                <c:ptCount val="5"/>
                <c:pt idx="0">
                  <c:v>北美</c:v>
                </c:pt>
                <c:pt idx="1">
                  <c:v>欧洲</c:v>
                </c:pt>
                <c:pt idx="2">
                  <c:v>亚太</c:v>
                </c:pt>
                <c:pt idx="3">
                  <c:v>南美</c:v>
                </c:pt>
                <c:pt idx="4">
                  <c:v>中东非洲</c:v>
                </c:pt>
              </c:strCache>
            </c:strRef>
          </c:cat>
          <c:val>
            <c:numRef>
              <c:f>'地区-消费'!$AE$2:$AE$10</c:f>
              <c:numCache>
                <c:formatCode>#,##0_);[Red]\(#,##0\)</c:formatCode>
                <c:ptCount val="5"/>
                <c:pt idx="0">
                  <c:v>181.62</c:v>
                </c:pt>
                <c:pt idx="1">
                  <c:v>154.01</c:v>
                </c:pt>
                <c:pt idx="2">
                  <c:v>82.62</c:v>
                </c:pt>
                <c:pt idx="3">
                  <c:v>20.12</c:v>
                </c:pt>
                <c:pt idx="4">
                  <c:v>16.5600000000001</c:v>
                </c:pt>
              </c:numCache>
            </c:numRef>
          </c:val>
        </c:ser>
        <c:ser>
          <c:idx val="1"/>
          <c:order val="1"/>
          <c:tx>
            <c:strRef>
              <c:f>'地区-消费'!$AF$1</c:f>
              <c:strCache>
                <c:ptCount val="1"/>
                <c:pt idx="0">
                  <c:v>2023</c:v>
                </c:pt>
              </c:strCache>
            </c:strRef>
          </c:tx>
          <c:spPr>
            <a:solidFill>
              <a:schemeClr val="bg1">
                <a:lumMod val="50000"/>
              </a:schemeClr>
            </a:solidFill>
            <a:ln>
              <a:noFill/>
            </a:ln>
            <a:effectLst/>
          </c:spPr>
          <c:invertIfNegative val="0"/>
          <c:dLbls>
            <c:delete val="1"/>
          </c:dLbls>
          <c:cat>
            <c:strRef>
              <c:f>'地区-消费'!$AD$2:$AD$10</c:f>
              <c:strCache>
                <c:ptCount val="5"/>
                <c:pt idx="0">
                  <c:v>北美</c:v>
                </c:pt>
                <c:pt idx="1">
                  <c:v>欧洲</c:v>
                </c:pt>
                <c:pt idx="2">
                  <c:v>亚太</c:v>
                </c:pt>
                <c:pt idx="3">
                  <c:v>南美</c:v>
                </c:pt>
                <c:pt idx="4">
                  <c:v>中东非洲</c:v>
                </c:pt>
              </c:strCache>
            </c:strRef>
          </c:cat>
          <c:val>
            <c:numRef>
              <c:f>'地区-消费'!$AF$2:$AF$10</c:f>
              <c:numCache>
                <c:formatCode>#,##0_);[Red]\(#,##0\)</c:formatCode>
                <c:ptCount val="5"/>
                <c:pt idx="0">
                  <c:v>236.96</c:v>
                </c:pt>
                <c:pt idx="1">
                  <c:v>195.11</c:v>
                </c:pt>
                <c:pt idx="2">
                  <c:v>113.35</c:v>
                </c:pt>
                <c:pt idx="3">
                  <c:v>27.15</c:v>
                </c:pt>
                <c:pt idx="4">
                  <c:v>22.33</c:v>
                </c:pt>
              </c:numCache>
            </c:numRef>
          </c:val>
        </c:ser>
        <c:ser>
          <c:idx val="2"/>
          <c:order val="2"/>
          <c:tx>
            <c:strRef>
              <c:f>'地区-消费'!$AG$1</c:f>
              <c:strCache>
                <c:ptCount val="1"/>
                <c:pt idx="0">
                  <c:v>2030</c:v>
                </c:pt>
              </c:strCache>
            </c:strRef>
          </c:tx>
          <c:spPr>
            <a:solidFill>
              <a:srgbClr val="002060"/>
            </a:solidFill>
            <a:ln>
              <a:noFill/>
            </a:ln>
            <a:effectLst/>
          </c:spPr>
          <c:invertIfNegative val="0"/>
          <c:dLbls>
            <c:delete val="1"/>
          </c:dLbls>
          <c:cat>
            <c:strRef>
              <c:f>'地区-消费'!$AD$2:$AD$10</c:f>
              <c:strCache>
                <c:ptCount val="5"/>
                <c:pt idx="0">
                  <c:v>北美</c:v>
                </c:pt>
                <c:pt idx="1">
                  <c:v>欧洲</c:v>
                </c:pt>
                <c:pt idx="2">
                  <c:v>亚太</c:v>
                </c:pt>
                <c:pt idx="3">
                  <c:v>南美</c:v>
                </c:pt>
                <c:pt idx="4">
                  <c:v>中东非洲</c:v>
                </c:pt>
              </c:strCache>
            </c:strRef>
          </c:cat>
          <c:val>
            <c:numRef>
              <c:f>'地区-消费'!$AG$2:$AG$10</c:f>
              <c:numCache>
                <c:formatCode>#,##0_);[Red]\(#,##0\)</c:formatCode>
                <c:ptCount val="5"/>
                <c:pt idx="0">
                  <c:v>343.64</c:v>
                </c:pt>
                <c:pt idx="1">
                  <c:v>282.07</c:v>
                </c:pt>
                <c:pt idx="2">
                  <c:v>180.28</c:v>
                </c:pt>
                <c:pt idx="3">
                  <c:v>44.87</c:v>
                </c:pt>
                <c:pt idx="4">
                  <c:v>35.9</c:v>
                </c:pt>
              </c:numCache>
            </c:numRef>
          </c:val>
        </c:ser>
        <c:dLbls>
          <c:showLegendKey val="0"/>
          <c:showVal val="0"/>
          <c:showCatName val="0"/>
          <c:showSerName val="0"/>
          <c:showPercent val="0"/>
          <c:showBubbleSize val="0"/>
        </c:dLbls>
        <c:gapWidth val="75"/>
        <c:axId val="25844928"/>
        <c:axId val="1875643855"/>
      </c:barChart>
      <c:catAx>
        <c:axId val="258449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875643855"/>
        <c:crosses val="autoZero"/>
        <c:auto val="1"/>
        <c:lblAlgn val="ctr"/>
        <c:lblOffset val="100"/>
        <c:noMultiLvlLbl val="0"/>
      </c:catAx>
      <c:valAx>
        <c:axId val="1875643855"/>
        <c:scaling>
          <c:orientation val="minMax"/>
        </c:scaling>
        <c:delete val="0"/>
        <c:axPos val="l"/>
        <c:majorGridlines>
          <c:spPr>
            <a:ln w="9525" cap="flat" cmpd="sng" algn="ctr">
              <a:noFill/>
              <a:round/>
            </a:ln>
            <a:effectLst/>
          </c:spPr>
        </c:majorGridlines>
        <c:numFmt formatCode="#,##0_);[Red]\(#,##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2584492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legend>
    <c:plotVisOnly val="1"/>
    <c:dispBlanksAs val="gap"/>
    <c:showDLblsOverMax val="0"/>
    <c:extLst>
      <c:ext uri="{0b15fc19-7d7d-44ad-8c2d-2c3a37ce22c3}">
        <chartProps xmlns="https://web.wps.cn/et/2018/main" chartId="{cead4717-e8df-4ccf-912c-412c86ab60d0}"/>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'地区-消费'!$A$2</c:f>
              <c:strCache>
                <c:ptCount val="1"/>
                <c:pt idx="0">
                  <c:v>北美</c:v>
                </c:pt>
              </c:strCache>
            </c:strRef>
          </c:tx>
          <c:spPr>
            <a:solidFill>
              <a:srgbClr val="002060"/>
            </a:solidFill>
            <a:ln>
              <a:noFill/>
            </a:ln>
            <a:effectLst/>
          </c:spPr>
          <c:invertIfNegative val="0"/>
          <c:dLbls>
            <c:delete val="1"/>
          </c:dLbls>
          <c:cat>
            <c:numRef>
              <c:f>'地区-消费'!$B$1:$M$1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'地区-消费'!$B$2:$M$2</c:f>
              <c:numCache>
                <c:formatCode>#,##0_);[Red]\(#,##0\)</c:formatCode>
                <c:ptCount val="12"/>
                <c:pt idx="0">
                  <c:v>181.62</c:v>
                </c:pt>
                <c:pt idx="1">
                  <c:v>196.87</c:v>
                </c:pt>
                <c:pt idx="2">
                  <c:v>211.01</c:v>
                </c:pt>
                <c:pt idx="3">
                  <c:v>221.89</c:v>
                </c:pt>
                <c:pt idx="4">
                  <c:v>236.96</c:v>
                </c:pt>
                <c:pt idx="5">
                  <c:v>250.97</c:v>
                </c:pt>
                <c:pt idx="6">
                  <c:v>264.03</c:v>
                </c:pt>
                <c:pt idx="7">
                  <c:v>282.03</c:v>
                </c:pt>
                <c:pt idx="8">
                  <c:v>297.4</c:v>
                </c:pt>
                <c:pt idx="9">
                  <c:v>314.77</c:v>
                </c:pt>
                <c:pt idx="10">
                  <c:v>329.16</c:v>
                </c:pt>
                <c:pt idx="11">
                  <c:v>343.64</c:v>
                </c:pt>
              </c:numCache>
            </c:numRef>
          </c:val>
        </c:ser>
        <c:ser>
          <c:idx val="1"/>
          <c:order val="1"/>
          <c:tx>
            <c:strRef>
              <c:f>'地区-消费'!$A$3</c:f>
              <c:strCache>
                <c:ptCount val="1"/>
                <c:pt idx="0">
                  <c:v>欧洲</c:v>
                </c:pt>
              </c:strCache>
            </c:strRef>
          </c:tx>
          <c:spPr>
            <a:solidFill>
              <a:schemeClr val="bg1">
                <a:lumMod val="50000"/>
              </a:schemeClr>
            </a:solidFill>
            <a:ln>
              <a:noFill/>
            </a:ln>
            <a:effectLst/>
          </c:spPr>
          <c:invertIfNegative val="0"/>
          <c:dLbls>
            <c:delete val="1"/>
          </c:dLbls>
          <c:cat>
            <c:numRef>
              <c:f>'地区-消费'!$B$1:$M$1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'地区-消费'!$B$3:$M$3</c:f>
              <c:numCache>
                <c:formatCode>#,##0_);[Red]\(#,##0\)</c:formatCode>
                <c:ptCount val="12"/>
                <c:pt idx="0">
                  <c:v>154.01</c:v>
                </c:pt>
                <c:pt idx="1">
                  <c:v>166.47</c:v>
                </c:pt>
                <c:pt idx="2">
                  <c:v>177.7</c:v>
                </c:pt>
                <c:pt idx="3">
                  <c:v>185.95</c:v>
                </c:pt>
                <c:pt idx="4">
                  <c:v>195.11</c:v>
                </c:pt>
                <c:pt idx="5">
                  <c:v>205.72</c:v>
                </c:pt>
                <c:pt idx="6">
                  <c:v>214.07</c:v>
                </c:pt>
                <c:pt idx="7">
                  <c:v>227.9</c:v>
                </c:pt>
                <c:pt idx="8">
                  <c:v>240.9</c:v>
                </c:pt>
                <c:pt idx="9">
                  <c:v>251.92</c:v>
                </c:pt>
                <c:pt idx="10">
                  <c:v>266.92</c:v>
                </c:pt>
                <c:pt idx="11">
                  <c:v>282.07</c:v>
                </c:pt>
              </c:numCache>
            </c:numRef>
          </c:val>
        </c:ser>
        <c:ser>
          <c:idx val="2"/>
          <c:order val="2"/>
          <c:tx>
            <c:strRef>
              <c:f>'地区-消费'!$A$4</c:f>
              <c:strCache>
                <c:ptCount val="1"/>
                <c:pt idx="0">
                  <c:v>亚太</c:v>
                </c:pt>
              </c:strCache>
            </c:strRef>
          </c:tx>
          <c:spPr>
            <a:solidFill>
              <a:srgbClr val="0070C0"/>
            </a:solidFill>
            <a:ln>
              <a:noFill/>
            </a:ln>
            <a:effectLst/>
          </c:spPr>
          <c:invertIfNegative val="0"/>
          <c:dLbls>
            <c:delete val="1"/>
          </c:dLbls>
          <c:cat>
            <c:numRef>
              <c:f>'地区-消费'!$B$1:$M$1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'地区-消费'!$B$4:$M$4</c:f>
              <c:numCache>
                <c:formatCode>#,##0_);[Red]\(#,##0\)</c:formatCode>
                <c:ptCount val="12"/>
                <c:pt idx="0">
                  <c:v>82.62</c:v>
                </c:pt>
                <c:pt idx="1">
                  <c:v>90.79</c:v>
                </c:pt>
                <c:pt idx="2">
                  <c:v>98.97</c:v>
                </c:pt>
                <c:pt idx="3">
                  <c:v>105.49</c:v>
                </c:pt>
                <c:pt idx="4">
                  <c:v>113.35</c:v>
                </c:pt>
                <c:pt idx="5">
                  <c:v>121.69</c:v>
                </c:pt>
                <c:pt idx="6">
                  <c:v>130.53</c:v>
                </c:pt>
                <c:pt idx="7">
                  <c:v>138</c:v>
                </c:pt>
                <c:pt idx="8">
                  <c:v>147.31</c:v>
                </c:pt>
                <c:pt idx="9">
                  <c:v>158.11</c:v>
                </c:pt>
                <c:pt idx="10">
                  <c:v>168.43</c:v>
                </c:pt>
                <c:pt idx="11">
                  <c:v>180.28</c:v>
                </c:pt>
              </c:numCache>
            </c:numRef>
          </c:val>
        </c:ser>
        <c:ser>
          <c:idx val="3"/>
          <c:order val="3"/>
          <c:tx>
            <c:strRef>
              <c:f>'地区-消费'!$A$5</c:f>
              <c:strCache>
                <c:ptCount val="1"/>
                <c:pt idx="0">
                  <c:v>南美</c:v>
                </c:pt>
              </c:strCache>
            </c:strRef>
          </c:tx>
          <c:spPr>
            <a:solidFill>
              <a:srgbClr val="FFC000"/>
            </a:solidFill>
            <a:ln>
              <a:noFill/>
            </a:ln>
            <a:effectLst/>
          </c:spPr>
          <c:invertIfNegative val="0"/>
          <c:dLbls>
            <c:delete val="1"/>
          </c:dLbls>
          <c:cat>
            <c:numRef>
              <c:f>'地区-消费'!$B$1:$M$1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'地区-消费'!$B$5:$M$5</c:f>
              <c:numCache>
                <c:formatCode>#,##0_);[Red]\(#,##0\)</c:formatCode>
                <c:ptCount val="12"/>
                <c:pt idx="0">
                  <c:v>20.12</c:v>
                </c:pt>
                <c:pt idx="1">
                  <c:v>21.93</c:v>
                </c:pt>
                <c:pt idx="2">
                  <c:v>23.75</c:v>
                </c:pt>
                <c:pt idx="3">
                  <c:v>25.26</c:v>
                </c:pt>
                <c:pt idx="4">
                  <c:v>27.15</c:v>
                </c:pt>
                <c:pt idx="5">
                  <c:v>29.25</c:v>
                </c:pt>
                <c:pt idx="6">
                  <c:v>31.4</c:v>
                </c:pt>
                <c:pt idx="7">
                  <c:v>33.41</c:v>
                </c:pt>
                <c:pt idx="8">
                  <c:v>36.03</c:v>
                </c:pt>
                <c:pt idx="9">
                  <c:v>38.39</c:v>
                </c:pt>
                <c:pt idx="10">
                  <c:v>41.72</c:v>
                </c:pt>
                <c:pt idx="11">
                  <c:v>44.87</c:v>
                </c:pt>
              </c:numCache>
            </c:numRef>
          </c:val>
        </c:ser>
        <c:ser>
          <c:idx val="4"/>
          <c:order val="4"/>
          <c:tx>
            <c:strRef>
              <c:f>'地区-消费'!$A$6</c:f>
              <c:strCache>
                <c:ptCount val="1"/>
                <c:pt idx="0">
                  <c:v>中东非洲</c:v>
                </c:pt>
              </c:strCache>
            </c:strRef>
          </c:tx>
          <c:spPr>
            <a:solidFill>
              <a:schemeClr val="tx1">
                <a:lumMod val="65000"/>
                <a:lumOff val="35000"/>
              </a:schemeClr>
            </a:solidFill>
            <a:ln>
              <a:noFill/>
            </a:ln>
            <a:effectLst/>
          </c:spPr>
          <c:invertIfNegative val="0"/>
          <c:dLbls>
            <c:delete val="1"/>
          </c:dLbls>
          <c:cat>
            <c:numRef>
              <c:f>'地区-消费'!$B$1:$M$1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'地区-消费'!$B$6:$M$6</c:f>
              <c:numCache>
                <c:formatCode>#,##0_);[Red]\(#,##0\)</c:formatCode>
                <c:ptCount val="12"/>
                <c:pt idx="0">
                  <c:v>16.5600000000001</c:v>
                </c:pt>
                <c:pt idx="1">
                  <c:v>18.04</c:v>
                </c:pt>
                <c:pt idx="2">
                  <c:v>19.33</c:v>
                </c:pt>
                <c:pt idx="3">
                  <c:v>20.6300000000001</c:v>
                </c:pt>
                <c:pt idx="4">
                  <c:v>22.33</c:v>
                </c:pt>
                <c:pt idx="5">
                  <c:v>24.1199999999999</c:v>
                </c:pt>
                <c:pt idx="6">
                  <c:v>25.59</c:v>
                </c:pt>
                <c:pt idx="7">
                  <c:v>27.62</c:v>
                </c:pt>
                <c:pt idx="8">
                  <c:v>29.38</c:v>
                </c:pt>
                <c:pt idx="9">
                  <c:v>31.33</c:v>
                </c:pt>
                <c:pt idx="10">
                  <c:v>33.56</c:v>
                </c:pt>
                <c:pt idx="11">
                  <c:v>35.9</c:v>
                </c:pt>
              </c:numCache>
            </c:numRef>
          </c:val>
        </c:ser>
        <c:ser>
          <c:idx val="5"/>
          <c:order val="5"/>
          <c:tx>
            <c:strRef>
              <c:f>'地区-消费'!$A$7</c:f>
              <c:strCache>
                <c:ptCount val="1"/>
                <c:pt idx="0">
                  <c:v/>
                </c:pt>
              </c:strCache>
            </c:strRef>
          </c:tx>
          <c:spPr>
            <a:solidFill>
              <a:srgbClr val="C00000"/>
            </a:solidFill>
            <a:ln>
              <a:noFill/>
            </a:ln>
            <a:effectLst/>
          </c:spPr>
          <c:invertIfNegative val="0"/>
          <c:dLbls>
            <c:delete val="1"/>
          </c:dLbls>
          <c:cat>
            <c:numRef>
              <c:f>'地区-消费'!$B$1:$M$1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'地区-消费'!$B$7:$M$7</c:f>
            </c:numRef>
          </c:val>
        </c:ser>
        <c:ser>
          <c:idx val="6"/>
          <c:order val="6"/>
          <c:tx>
            <c:strRef>
              <c:f>'地区-消费'!$A$8</c:f>
              <c:strCache>
                <c:ptCount val="1"/>
                <c:pt idx="0">
                  <c:v/>
                </c:pt>
              </c:strCache>
            </c:strRef>
          </c:tx>
          <c:spPr>
            <a:solidFill>
              <a:srgbClr val="7030A0"/>
            </a:solidFill>
            <a:ln>
              <a:noFill/>
            </a:ln>
            <a:effectLst/>
          </c:spPr>
          <c:invertIfNegative val="0"/>
          <c:dLbls>
            <c:delete val="1"/>
          </c:dLbls>
          <c:cat>
            <c:numRef>
              <c:f>'地区-消费'!$B$1:$M$1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'地区-消费'!$B$8:$M$8</c:f>
            </c:numRef>
          </c:val>
        </c:ser>
        <c:ser>
          <c:idx val="7"/>
          <c:order val="7"/>
          <c:tx>
            <c:strRef>
              <c:f>'地区-消费'!$A$9</c:f>
              <c:strCache>
                <c:ptCount val="1"/>
                <c:pt idx="0">
                  <c:v/>
                </c:pt>
              </c:strCache>
            </c:strRef>
          </c:tx>
          <c:spPr>
            <a:solidFill>
              <a:schemeClr val="tx2">
                <a:lumMod val="60000"/>
                <a:lumOff val="40000"/>
              </a:schemeClr>
            </a:solidFill>
            <a:ln>
              <a:noFill/>
            </a:ln>
            <a:effectLst/>
          </c:spPr>
          <c:invertIfNegative val="0"/>
          <c:dLbls>
            <c:delete val="1"/>
          </c:dLbls>
          <c:cat>
            <c:numRef>
              <c:f>'地区-消费'!$B$1:$M$1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'地区-消费'!$B$9:$M$9</c:f>
            </c:numRef>
          </c:val>
        </c:ser>
        <c:ser>
          <c:idx val="8"/>
          <c:order val="8"/>
          <c:tx>
            <c:strRef>
              <c:f>'地区-消费'!$A$10</c:f>
              <c:strCache>
                <c:ptCount val="1"/>
                <c:pt idx="0">
                  <c:v/>
                </c:pt>
              </c:strCache>
            </c:strRef>
          </c:tx>
          <c:spPr>
            <a:solidFill>
              <a:schemeClr val="accent6">
                <a:lumMod val="75000"/>
              </a:schemeClr>
            </a:solidFill>
            <a:ln>
              <a:noFill/>
            </a:ln>
            <a:effectLst/>
          </c:spPr>
          <c:invertIfNegative val="0"/>
          <c:dLbls>
            <c:delete val="1"/>
          </c:dLbls>
          <c:cat>
            <c:numRef>
              <c:f>'地区-消费'!$B$1:$M$1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'地区-消费'!$B$10:$M$10</c:f>
            </c:numRef>
          </c:val>
        </c:ser>
        <c:dLbls>
          <c:showLegendKey val="0"/>
          <c:showVal val="0"/>
          <c:showCatName val="0"/>
          <c:showSerName val="0"/>
          <c:showPercent val="0"/>
          <c:showBubbleSize val="0"/>
        </c:dLbls>
        <c:gapWidth val="45"/>
        <c:overlap val="100"/>
        <c:axId val="1897692240"/>
        <c:axId val="1897707216"/>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8e20a265-2d7a-48f6-8933-9d5906f49545}"/>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35DA6C7-F8AE-444C-98C4-4A94124E8BC3}">
  <ds:schemaRefs/>
</ds:datastoreItem>
</file>

<file path=docProps/app.xml><?xml version="1.0" encoding="utf-8"?>
<Properties xmlns="http://schemas.openxmlformats.org/officeDocument/2006/extended-properties" xmlns:vt="http://schemas.openxmlformats.org/officeDocument/2006/docPropsVTypes">
  <Template>Normal</Template>
  <Pages>5</Pages>
  <Words>2245</Words>
  <Characters>2523</Characters>
  <Lines>18</Lines>
  <Paragraphs>5</Paragraphs>
  <TotalTime>717</TotalTime>
  <ScaleCrop>false</ScaleCrop>
  <LinksUpToDate>false</LinksUpToDate>
  <CharactersWithSpaces>2537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2025-05-28T04:26:18Z</dcterms:modified>
  <cp:revision>948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2052-12.1.0.20784</vt:lpwstr>
  </property>
  <property fmtid="{D5CDD505-2E9C-101B-9397-08002B2CF9AE}" pid="4" name="ICV">
    <vt:lpwstr>BD559DD367F046ACBE81D8815D82AC0C_12</vt:lpwstr>
  </property>
</Properties>
</file>