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40BFED">
      <w:pPr>
        <w:pStyle w:val="167"/>
        <w:rPr>
          <w:lang w:eastAsia="zh-CN"/>
        </w:rPr>
      </w:pPr>
      <w:bookmarkStart w:id="0" w:name="_Toc517262917"/>
      <w:bookmarkStart w:id="1" w:name="_Toc453597319"/>
      <w:bookmarkStart w:id="2" w:name="_Toc438987549"/>
      <w:bookmarkStart w:id="3" w:name="_Toc481801204"/>
      <w:bookmarkStart w:id="4" w:name="OLE_LINK15"/>
      <w:bookmarkStart w:id="5" w:name="OLE_LINK13"/>
      <w:bookmarkStart w:id="6" w:name="_Toc415818939"/>
      <w:bookmarkStart w:id="7" w:name="_Toc415143481"/>
      <w:bookmarkStart w:id="8" w:name="_Toc415142861"/>
      <w:bookmarkStart w:id="9" w:name="_Toc418070112"/>
      <w:bookmarkStart w:id="10" w:name="OLE_LINK39"/>
      <w:bookmarkStart w:id="11" w:name="OLE_LINK40"/>
      <w:bookmarkStart w:id="12" w:name="OLE_LINK24"/>
      <w:r>
        <w:rPr>
          <w:lang w:eastAsia="zh-CN"/>
        </w:rPr>
        <w:t xml:space="preserve">老年人保健品 </w:t>
      </w:r>
      <w:r>
        <w:rPr>
          <w:rFonts w:hint="eastAsia"/>
          <w:lang w:eastAsia="zh-CN"/>
        </w:rPr>
        <w:t>市场调研报告</w:t>
      </w:r>
    </w:p>
    <w:p w14:paraId="30F827E7">
      <w:pPr>
        <w:pStyle w:val="145"/>
        <w:ind w:firstLine="420"/>
        <w:rPr>
          <w:lang w:eastAsia="zh-CN"/>
        </w:rPr>
      </w:pPr>
      <w:r>
        <w:rPr>
          <w:rFonts w:hint="eastAsia"/>
          <w:lang w:eastAsia="zh-CN"/>
        </w:rPr>
        <w:t>老年人保健产品，即为老年人为客户群体的保健品，是为支持和增进老年人健康和福祉而设计的产品。这些产品通常旨在解决老年人在衰老过程中面临的独特健康需求和挑战，例如保持身体健康、管理慢性病和确保充足的营养。</w:t>
      </w:r>
    </w:p>
    <w:p w14:paraId="62F21628">
      <w:pPr>
        <w:pStyle w:val="145"/>
        <w:ind w:firstLine="420"/>
        <w:rPr>
          <w:rFonts w:hint="eastAsia"/>
          <w:lang w:eastAsia="zh-CN"/>
        </w:rPr>
      </w:pPr>
      <w:r>
        <w:rPr>
          <w:rFonts w:hint="eastAsia"/>
          <w:lang w:eastAsia="zh-CN"/>
        </w:rPr>
        <w:t>据QYResearch调研团队最新报告“全球老年保健品市场报告2024-2030”显示，预计2030年全球老年保健品市场规模将达到1631.1亿美元，未来几年年复合增长率CAGR为4.7%。</w:t>
      </w:r>
    </w:p>
    <w:p w14:paraId="435E3011">
      <w:pPr>
        <w:pStyle w:val="145"/>
        <w:rPr>
          <w:lang w:eastAsia="zh-CN"/>
        </w:rPr>
      </w:pPr>
      <w:r>
        <w:drawing>
          <wp:inline distT="0" distB="0" distL="0" distR="0">
            <wp:extent cx="2533650" cy="2264410"/>
            <wp:effectExtent l="0" t="0" r="0" b="2540"/>
            <wp:docPr id="6" name="图片 6" descr="老年养生保健品行业发展如何? 保健品是老年人的需求重点之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老年养生保健品行业发展如何? 保健品是老年人的需求重点之一"/>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541574" cy="2271673"/>
                    </a:xfrm>
                    <a:prstGeom prst="rect">
                      <a:avLst/>
                    </a:prstGeom>
                    <a:noFill/>
                    <a:ln>
                      <a:noFill/>
                    </a:ln>
                  </pic:spPr>
                </pic:pic>
              </a:graphicData>
            </a:graphic>
          </wp:inline>
        </w:drawing>
      </w:r>
    </w:p>
    <w:p w14:paraId="3F6C2722">
      <w:pPr>
        <w:pStyle w:val="148"/>
        <w:rPr>
          <w:lang w:eastAsia="zh-CN"/>
        </w:rPr>
      </w:pPr>
      <w:r>
        <w:rPr>
          <w:lang w:eastAsia="zh-CN"/>
        </w:rPr>
        <w:t>老年人保健品</w:t>
      </w:r>
      <w:r>
        <w:rPr>
          <w:rFonts w:hint="eastAsia"/>
          <w:lang w:eastAsia="zh-CN"/>
        </w:rPr>
        <w:t>，全球市场总体规模</w:t>
      </w:r>
    </w:p>
    <w:p w14:paraId="33261207">
      <w:pPr>
        <w:pStyle w:val="145"/>
      </w:pPr>
      <w:r>
        <w:rPr>
          <w:lang w:val="en-US" w:eastAsia="zh-CN"/>
        </w:rPr>
        <w:drawing>
          <wp:inline distT="0" distB="0" distL="0" distR="0">
            <wp:extent cx="6407150" cy="306070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407150" cy="3060700"/>
                    </a:xfrm>
                    <a:prstGeom prst="rect">
                      <a:avLst/>
                    </a:prstGeom>
                    <a:noFill/>
                  </pic:spPr>
                </pic:pic>
              </a:graphicData>
            </a:graphic>
          </wp:inline>
        </w:drawing>
      </w:r>
    </w:p>
    <w:p w14:paraId="12FD9BEF">
      <w:pPr>
        <w:pStyle w:val="143"/>
        <w:rPr>
          <w:rFonts w:hint="eastAsia"/>
          <w:lang w:eastAsia="zh-CN"/>
        </w:rPr>
      </w:pPr>
      <w:r>
        <w:rPr>
          <w:rFonts w:hint="eastAsia"/>
          <w:lang w:eastAsia="zh-CN"/>
        </w:rPr>
        <w:t>来源：QYResearch消费品研究中心</w:t>
      </w:r>
    </w:p>
    <w:p w14:paraId="720E31E2">
      <w:pPr>
        <w:pStyle w:val="148"/>
        <w:rPr>
          <w:lang w:eastAsia="zh-CN"/>
        </w:rPr>
      </w:pPr>
      <w:r>
        <w:rPr>
          <w:rFonts w:hint="eastAsia"/>
          <w:lang w:eastAsia="zh-CN"/>
        </w:rPr>
        <w:t>全球</w:t>
      </w:r>
      <w:r>
        <w:rPr>
          <w:lang w:eastAsia="zh-CN"/>
        </w:rPr>
        <w:t>老年人保健品</w:t>
      </w:r>
      <w:r>
        <w:rPr>
          <w:rFonts w:hint="eastAsia"/>
          <w:lang w:eastAsia="zh-CN"/>
        </w:rPr>
        <w:t>市场前</w:t>
      </w:r>
      <w:r>
        <w:rPr>
          <w:lang w:eastAsia="zh-CN"/>
        </w:rPr>
        <w:t>17</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3773805" cy="599313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773805" cy="5993130"/>
                    </a:xfrm>
                    <a:prstGeom prst="rect">
                      <a:avLst/>
                    </a:prstGeom>
                    <a:noFill/>
                  </pic:spPr>
                </pic:pic>
              </a:graphicData>
            </a:graphic>
          </wp:inline>
        </w:drawing>
      </w:r>
    </w:p>
    <w:p w14:paraId="04A43543">
      <w:pPr>
        <w:pStyle w:val="143"/>
        <w:rPr>
          <w:lang w:eastAsia="zh-CN"/>
        </w:rPr>
      </w:pPr>
      <w:r>
        <w:rPr>
          <w:rFonts w:hint="eastAsia"/>
          <w:lang w:eastAsia="zh-CN"/>
        </w:rPr>
        <w:t>来源：QYResearch 消费品研究中心。行业处于不断变动之中，最新数据请联系QYResearch咨询。</w:t>
      </w:r>
    </w:p>
    <w:p w14:paraId="3B2E5865">
      <w:pPr>
        <w:pStyle w:val="145"/>
        <w:rPr>
          <w:lang w:eastAsia="zh-CN"/>
        </w:rPr>
      </w:pPr>
      <w:r>
        <w:rPr>
          <w:rFonts w:hint="eastAsia"/>
          <w:lang w:eastAsia="zh-CN"/>
        </w:rPr>
        <w:t>根据QYResearch头部企业研究中心调研，全球范围内老年保健品生产商主要包括安利、Herbalife Nutrition Ltd.、Suntory Holdings Limited、汤臣倍健、无限极、Glanbia Plc、完美、GNC Holdings, LLC、Nestlé Health Science、USANA Health Sciences, Inc.等。2022年，全球前十强厂商占有大约17.0%的市场份额。</w:t>
      </w:r>
    </w:p>
    <w:p w14:paraId="73A6A22A">
      <w:pPr>
        <w:pStyle w:val="145"/>
        <w:rPr>
          <w:rFonts w:hint="eastAsia"/>
          <w:lang w:eastAsia="zh-CN"/>
        </w:rPr>
      </w:pPr>
    </w:p>
    <w:p w14:paraId="3E6DE9A8">
      <w:pPr>
        <w:pStyle w:val="148"/>
        <w:rPr>
          <w:lang w:eastAsia="zh-CN"/>
        </w:rPr>
      </w:pPr>
      <w:r>
        <w:rPr>
          <w:lang w:eastAsia="zh-CN"/>
        </w:rPr>
        <w:t>老年人保健品</w:t>
      </w:r>
      <w:r>
        <w:rPr>
          <w:rFonts w:hint="eastAsia"/>
          <w:lang w:eastAsia="zh-CN"/>
        </w:rPr>
        <w:t>，全球市场规模，按产品类型细分</w:t>
      </w:r>
    </w:p>
    <w:p w14:paraId="19A9AF05">
      <w:pPr>
        <w:pStyle w:val="145"/>
        <w:rPr>
          <w:lang w:eastAsia="zh-CN"/>
        </w:rPr>
      </w:pPr>
      <w:r>
        <w:rPr>
          <w:lang w:val="en-US" w:eastAsia="zh-CN"/>
        </w:rPr>
        <w:drawing>
          <wp:inline distT="0" distB="0" distL="0" distR="0">
            <wp:extent cx="6638925" cy="3060700"/>
            <wp:effectExtent l="0" t="0" r="9525"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638925" cy="3060700"/>
                    </a:xfrm>
                    <a:prstGeom prst="rect">
                      <a:avLst/>
                    </a:prstGeom>
                    <a:noFill/>
                  </pic:spPr>
                </pic:pic>
              </a:graphicData>
            </a:graphic>
          </wp:inline>
        </w:drawing>
      </w:r>
    </w:p>
    <w:p w14:paraId="1DAC1641">
      <w:pPr>
        <w:pStyle w:val="145"/>
        <w:rPr>
          <w:lang w:eastAsia="zh-CN"/>
        </w:rPr>
      </w:pPr>
      <w:r>
        <w:rPr>
          <w:lang w:val="en-US" w:eastAsia="zh-CN"/>
        </w:rPr>
        <w:drawing>
          <wp:inline distT="0" distB="0" distL="0" distR="0">
            <wp:extent cx="6480810" cy="306070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14:paraId="39AE0722">
      <w:pPr>
        <w:pStyle w:val="143"/>
        <w:rPr>
          <w:lang w:eastAsia="zh-CN"/>
        </w:rPr>
      </w:pPr>
      <w:r>
        <w:rPr>
          <w:rFonts w:hint="eastAsia"/>
          <w:lang w:eastAsia="zh-CN"/>
        </w:rPr>
        <w:t>来源：QYResearch消费品研究中心</w:t>
      </w:r>
    </w:p>
    <w:p w14:paraId="41C3AE68">
      <w:pPr>
        <w:pStyle w:val="145"/>
        <w:rPr>
          <w:lang w:eastAsia="zh-CN"/>
        </w:rPr>
      </w:pPr>
      <w:r>
        <w:rPr>
          <w:rFonts w:hint="eastAsia"/>
          <w:lang w:eastAsia="zh-CN"/>
        </w:rPr>
        <w:t>就产品类型而言，目前营养补充剂是最主要的细分产品，占据大约62.3%的份额。</w:t>
      </w:r>
    </w:p>
    <w:p w14:paraId="0B069045">
      <w:pPr>
        <w:pStyle w:val="148"/>
        <w:rPr>
          <w:lang w:eastAsia="zh-CN"/>
        </w:rPr>
      </w:pPr>
      <w:r>
        <w:rPr>
          <w:lang w:eastAsia="zh-CN"/>
        </w:rPr>
        <w:t>老年人保健品</w:t>
      </w:r>
      <w:r>
        <w:rPr>
          <w:rFonts w:hint="eastAsia"/>
          <w:lang w:eastAsia="zh-CN"/>
        </w:rPr>
        <w:t>，全球市场规模，按应用细分</w:t>
      </w:r>
    </w:p>
    <w:p w14:paraId="0A4DB270">
      <w:pPr>
        <w:widowControl/>
        <w:topLinePunct w:val="0"/>
        <w:spacing w:after="0"/>
        <w:jc w:val="left"/>
        <w:rPr>
          <w:rFonts w:ascii="宋体" w:hAnsi="宋体" w:cs="宋体"/>
          <w:kern w:val="0"/>
          <w:sz w:val="24"/>
          <w:szCs w:val="24"/>
        </w:rPr>
      </w:pPr>
      <w:r>
        <w:rPr>
          <w:rFonts w:ascii="宋体" w:hAnsi="宋体" w:cs="宋体"/>
          <w:kern w:val="0"/>
          <w:sz w:val="24"/>
          <w:szCs w:val="24"/>
        </w:rPr>
        <w:drawing>
          <wp:inline distT="0" distB="0" distL="0" distR="0">
            <wp:extent cx="6638925" cy="3060700"/>
            <wp:effectExtent l="0" t="0" r="9525"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638925" cy="3060700"/>
                    </a:xfrm>
                    <a:prstGeom prst="rect">
                      <a:avLst/>
                    </a:prstGeom>
                    <a:noFill/>
                  </pic:spPr>
                </pic:pic>
              </a:graphicData>
            </a:graphic>
          </wp:inline>
        </w:drawing>
      </w:r>
    </w:p>
    <w:p w14:paraId="1F9213C6">
      <w:pPr>
        <w:widowControl/>
        <w:topLinePunct w:val="0"/>
        <w:spacing w:after="0"/>
        <w:jc w:val="left"/>
        <w:rPr>
          <w:rFonts w:ascii="宋体" w:hAnsi="宋体" w:cs="宋体"/>
          <w:kern w:val="0"/>
          <w:sz w:val="24"/>
          <w:szCs w:val="24"/>
        </w:rPr>
      </w:pPr>
      <w:r>
        <w:rPr>
          <w:rFonts w:ascii="宋体" w:hAnsi="宋体" w:cs="宋体"/>
          <w:kern w:val="0"/>
          <w:sz w:val="24"/>
          <w:szCs w:val="24"/>
        </w:rPr>
        <w:drawing>
          <wp:inline distT="0" distB="0" distL="0" distR="0">
            <wp:extent cx="6480810" cy="306070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14:paraId="1753BDFC">
      <w:pPr>
        <w:pStyle w:val="143"/>
        <w:rPr>
          <w:lang w:eastAsia="zh-CN"/>
        </w:rPr>
      </w:pPr>
      <w:r>
        <w:rPr>
          <w:rFonts w:hint="eastAsia"/>
          <w:lang w:eastAsia="zh-CN"/>
        </w:rPr>
        <w:t>来源：QYResearch消费品研究中心</w:t>
      </w:r>
    </w:p>
    <w:p w14:paraId="08CA65EC">
      <w:pPr>
        <w:pStyle w:val="143"/>
      </w:pPr>
    </w:p>
    <w:p w14:paraId="4B5D90DE">
      <w:pPr>
        <w:pStyle w:val="145"/>
        <w:rPr>
          <w:lang w:eastAsia="zh-CN"/>
        </w:rPr>
      </w:pPr>
    </w:p>
    <w:p w14:paraId="5315F7D2">
      <w:pPr>
        <w:pStyle w:val="143"/>
      </w:pPr>
    </w:p>
    <w:p w14:paraId="0CD10F4E">
      <w:pPr>
        <w:pStyle w:val="148"/>
        <w:rPr>
          <w:lang w:eastAsia="zh-CN"/>
        </w:rPr>
      </w:pPr>
      <w:r>
        <w:rPr>
          <w:rFonts w:hint="eastAsia"/>
          <w:lang w:eastAsia="zh-CN"/>
        </w:rPr>
        <w:t>全球主要市场</w:t>
      </w:r>
      <w:r>
        <w:rPr>
          <w:lang w:eastAsia="zh-CN"/>
        </w:rPr>
        <w:t>老年人保健品</w:t>
      </w:r>
      <w:r>
        <w:rPr>
          <w:rFonts w:hint="eastAsia"/>
          <w:lang w:eastAsia="zh-CN"/>
        </w:rPr>
        <w:t>规模</w:t>
      </w:r>
    </w:p>
    <w:p w14:paraId="4B44D8E9">
      <w:pPr>
        <w:pStyle w:val="145"/>
        <w:rPr>
          <w:lang w:val="en-US" w:eastAsia="zh-CN"/>
        </w:rPr>
      </w:pPr>
      <w:r>
        <w:rPr>
          <w:lang w:val="en-US" w:eastAsia="zh-CN"/>
        </w:rPr>
        <w:drawing>
          <wp:inline distT="0" distB="0" distL="0" distR="0">
            <wp:extent cx="6480810" cy="306070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6480810" cy="3060700"/>
                    </a:xfrm>
                    <a:prstGeom prst="rect">
                      <a:avLst/>
                    </a:prstGeom>
                    <a:noFill/>
                  </pic:spPr>
                </pic:pic>
              </a:graphicData>
            </a:graphic>
          </wp:inline>
        </w:drawing>
      </w:r>
    </w:p>
    <w:p w14:paraId="4049B707">
      <w:pPr>
        <w:pStyle w:val="145"/>
        <w:rPr>
          <w:rFonts w:hint="eastAsia"/>
          <w:lang w:val="en-US" w:eastAsia="zh-CN"/>
        </w:rPr>
      </w:pPr>
      <w:r>
        <w:rPr>
          <w:lang w:val="en-US" w:eastAsia="zh-CN"/>
        </w:rPr>
        <w:drawing>
          <wp:inline distT="0" distB="0" distL="0" distR="0">
            <wp:extent cx="5907405" cy="3060700"/>
            <wp:effectExtent l="0" t="0" r="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907405" cy="3060700"/>
                    </a:xfrm>
                    <a:prstGeom prst="rect">
                      <a:avLst/>
                    </a:prstGeom>
                    <a:noFill/>
                  </pic:spPr>
                </pic:pic>
              </a:graphicData>
            </a:graphic>
          </wp:inline>
        </w:drawing>
      </w:r>
    </w:p>
    <w:p w14:paraId="43FD29A5">
      <w:pPr>
        <w:pStyle w:val="143"/>
        <w:rPr>
          <w:lang w:eastAsia="zh-CN"/>
        </w:rPr>
      </w:pPr>
      <w:r>
        <w:rPr>
          <w:rFonts w:hint="eastAsia"/>
          <w:lang w:eastAsia="zh-CN"/>
        </w:rPr>
        <w:t>来源：QYResearch消费品研究中心</w:t>
      </w:r>
    </w:p>
    <w:p w14:paraId="265C5B20">
      <w:pPr>
        <w:pStyle w:val="143"/>
      </w:pPr>
    </w:p>
    <w:p w14:paraId="4020B357">
      <w:pPr>
        <w:pStyle w:val="145"/>
      </w:pPr>
    </w:p>
    <w:p w14:paraId="67507F6D">
      <w:pPr>
        <w:pStyle w:val="145"/>
      </w:pPr>
    </w:p>
    <w:p w14:paraId="1F6B6AB8">
      <w:pPr>
        <w:pStyle w:val="145"/>
        <w:rPr>
          <w:rFonts w:hint="eastAsia"/>
          <w:lang w:eastAsia="zh-CN"/>
        </w:rPr>
      </w:pPr>
      <w:r>
        <w:rPr>
          <w:rFonts w:hint="eastAsia"/>
          <w:lang w:eastAsia="zh-CN"/>
        </w:rPr>
        <w:t>市场背景</w:t>
      </w:r>
    </w:p>
    <w:p w14:paraId="76E9E3AA">
      <w:pPr>
        <w:pStyle w:val="145"/>
        <w:rPr>
          <w:rFonts w:hint="eastAsia"/>
          <w:lang w:eastAsia="zh-CN"/>
        </w:rPr>
      </w:pPr>
      <w:r>
        <w:rPr>
          <w:rFonts w:hint="eastAsia"/>
          <w:lang w:eastAsia="zh-CN"/>
        </w:rPr>
        <w:t>人口老龄化：人口老龄化导致老年人更加关注健康和保健。这种人口结构变化推动了对针对老年人需求的保健产品的需求。</w:t>
      </w:r>
    </w:p>
    <w:p w14:paraId="05CFF443">
      <w:pPr>
        <w:pStyle w:val="145"/>
        <w:rPr>
          <w:rFonts w:hint="eastAsia"/>
          <w:lang w:eastAsia="zh-CN"/>
        </w:rPr>
      </w:pPr>
      <w:r>
        <w:rPr>
          <w:rFonts w:hint="eastAsia"/>
          <w:lang w:eastAsia="zh-CN"/>
        </w:rPr>
        <w:t>健康意识增强：随着生活水平的提高，老年人越来越意识到保持健康的重要性。这导致他们更愿意投资于可以支持他们健康的保健产品。</w:t>
      </w:r>
    </w:p>
    <w:p w14:paraId="15DA596D">
      <w:pPr>
        <w:pStyle w:val="145"/>
        <w:rPr>
          <w:rFonts w:hint="eastAsia"/>
          <w:lang w:eastAsia="zh-CN"/>
        </w:rPr>
      </w:pPr>
      <w:r>
        <w:rPr>
          <w:rFonts w:hint="eastAsia"/>
          <w:lang w:eastAsia="zh-CN"/>
        </w:rPr>
        <w:t>市场规模和增长</w:t>
      </w:r>
    </w:p>
    <w:p w14:paraId="74A56F14">
      <w:pPr>
        <w:pStyle w:val="145"/>
        <w:rPr>
          <w:rFonts w:hint="eastAsia"/>
          <w:lang w:eastAsia="zh-CN"/>
        </w:rPr>
      </w:pPr>
      <w:r>
        <w:rPr>
          <w:rFonts w:hint="eastAsia"/>
          <w:lang w:eastAsia="zh-CN"/>
        </w:rPr>
        <w:t>全球视角：全球老年人保健产品市场正在经历显着增长。这是由可支配收入增加、健康意识增强和医疗技术进步等因素推动的。</w:t>
      </w:r>
    </w:p>
    <w:p w14:paraId="09A35339">
      <w:pPr>
        <w:pStyle w:val="145"/>
        <w:rPr>
          <w:rFonts w:hint="eastAsia"/>
          <w:lang w:eastAsia="zh-CN"/>
        </w:rPr>
      </w:pPr>
      <w:r>
        <w:rPr>
          <w:rFonts w:hint="eastAsia"/>
          <w:lang w:eastAsia="zh-CN"/>
        </w:rPr>
        <w:t>中国市场：中国人口老龄化严重，是保健产品的重要市场。中国老年人保健食品市场的规模一直在稳步增长。</w:t>
      </w:r>
    </w:p>
    <w:p w14:paraId="59BC560C">
      <w:pPr>
        <w:pStyle w:val="145"/>
        <w:rPr>
          <w:rFonts w:hint="eastAsia"/>
          <w:lang w:eastAsia="zh-CN"/>
        </w:rPr>
      </w:pPr>
      <w:r>
        <w:rPr>
          <w:rFonts w:hint="eastAsia"/>
          <w:lang w:eastAsia="zh-CN"/>
        </w:rPr>
        <w:t>挑战和机遇</w:t>
      </w:r>
    </w:p>
    <w:p w14:paraId="293DE7DF">
      <w:pPr>
        <w:pStyle w:val="145"/>
        <w:rPr>
          <w:rFonts w:hint="eastAsia"/>
          <w:lang w:eastAsia="zh-CN"/>
        </w:rPr>
      </w:pPr>
      <w:r>
        <w:rPr>
          <w:rFonts w:hint="eastAsia"/>
          <w:lang w:eastAsia="zh-CN"/>
        </w:rPr>
        <w:t>监管挑战：确保老年人保健产品的安全性和有效性是一项关键的监管挑战。政府和监管机构必须制定严格的标准并强制执行合规性以保护消费者。</w:t>
      </w:r>
    </w:p>
    <w:p w14:paraId="46F523DD">
      <w:pPr>
        <w:pStyle w:val="145"/>
        <w:rPr>
          <w:rFonts w:hint="eastAsia"/>
          <w:lang w:eastAsia="zh-CN"/>
        </w:rPr>
      </w:pPr>
      <w:r>
        <w:rPr>
          <w:rFonts w:hint="eastAsia"/>
          <w:lang w:eastAsia="zh-CN"/>
        </w:rPr>
        <w:t>消费者教育：提高老年人对健康产品益处和正确使用的认识至关重要。教育活动和消费者资源可以帮助满足这一需求。</w:t>
      </w:r>
    </w:p>
    <w:p w14:paraId="456DA48F">
      <w:pPr>
        <w:pStyle w:val="145"/>
        <w:rPr>
          <w:rFonts w:hint="eastAsia"/>
          <w:lang w:eastAsia="zh-CN"/>
        </w:rPr>
      </w:pPr>
      <w:r>
        <w:rPr>
          <w:rFonts w:hint="eastAsia"/>
          <w:lang w:eastAsia="zh-CN"/>
        </w:rPr>
        <w:t>创新机会：人口老龄化为健康产品市场带来了重大创新机会。公司可以开发满足老年人独特需求的新产品和服务，例如易于使用的医疗设备和定制的营养计划。</w:t>
      </w:r>
    </w:p>
    <w:p w14:paraId="0BA9BF5E">
      <w:pPr>
        <w:pStyle w:val="145"/>
        <w:rPr>
          <w:lang w:eastAsia="zh-CN"/>
        </w:rPr>
      </w:pPr>
      <w:r>
        <w:rPr>
          <w:rFonts w:hint="eastAsia"/>
          <w:lang w:eastAsia="zh-CN"/>
        </w:rPr>
        <w:t>总之，老年人健康产品市场是一个充满活力且不断增长的行业。随着人口老龄化和健康意识的增强，对能够支持老年人健康的创新和个性化健康产品的需求很大。然而，监管挑战和消费者教育需求仍然是市场参与者的关键考虑因素。</w:t>
      </w:r>
    </w:p>
    <w:p w14:paraId="63869F39">
      <w:pPr>
        <w:pStyle w:val="145"/>
        <w:rPr>
          <w:lang w:eastAsia="zh-CN"/>
        </w:rPr>
      </w:pPr>
    </w:p>
    <w:p w14:paraId="010029F0">
      <w:pPr>
        <w:pStyle w:val="145"/>
        <w:rPr>
          <w:rFonts w:hint="eastAsia"/>
          <w:lang w:eastAsia="zh-CN"/>
        </w:rPr>
      </w:pPr>
    </w:p>
    <w:p w14:paraId="313EF7E9">
      <w:pPr>
        <w:pStyle w:val="145"/>
        <w:rPr>
          <w:lang w:eastAsia="zh-CN"/>
        </w:rPr>
      </w:pPr>
    </w:p>
    <w:p w14:paraId="4021E053">
      <w:pPr>
        <w:pStyle w:val="145"/>
        <w:rPr>
          <w:rFonts w:hint="eastAsia"/>
          <w:lang w:eastAsia="zh-CN"/>
        </w:rPr>
      </w:pPr>
    </w:p>
    <w:p w14:paraId="6875CE01">
      <w:pPr>
        <w:pStyle w:val="145"/>
        <w:rPr>
          <w:lang w:eastAsia="zh-CN"/>
        </w:rPr>
      </w:pPr>
    </w:p>
    <w:p w14:paraId="4677FC25">
      <w:pPr>
        <w:pStyle w:val="167"/>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tbl>
      <w:tblPr>
        <w:tblStyle w:val="3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073"/>
        <w:gridCol w:w="4889"/>
      </w:tblGrid>
      <w:tr w14:paraId="03F56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 w:hRule="atLeast"/>
        </w:trPr>
        <w:tc>
          <w:tcPr>
            <w:tcW w:w="2546" w:type="pct"/>
            <w:vMerge w:val="restart"/>
            <w:vAlign w:val="center"/>
          </w:tcPr>
          <w:p w14:paraId="387AE364">
            <w:pPr>
              <w:rPr>
                <w:rFonts w:cs="Times New Roman"/>
                <w:kern w:val="0"/>
                <w:sz w:val="20"/>
                <w:szCs w:val="20"/>
              </w:rPr>
            </w:pPr>
            <w:bookmarkStart w:id="13" w:name="_Hlk160145936"/>
            <w:r>
              <w:rPr>
                <w:rFonts w:hint="eastAsia" w:cs="Times New Roman"/>
                <w:kern w:val="0"/>
                <w:sz w:val="20"/>
                <w:szCs w:val="20"/>
              </w:rPr>
              <w:t xml:space="preserve">梁慧 </w:t>
            </w:r>
            <w:r>
              <w:rPr>
                <w:rFonts w:cs="Times New Roman"/>
                <w:kern w:val="0"/>
                <w:sz w:val="20"/>
                <w:szCs w:val="20"/>
              </w:rPr>
              <w:t>–</w:t>
            </w:r>
            <w:r>
              <w:rPr>
                <w:rFonts w:hint="eastAsia" w:cs="Times New Roman"/>
                <w:kern w:val="0"/>
                <w:sz w:val="20"/>
                <w:szCs w:val="20"/>
              </w:rPr>
              <w:t xml:space="preserve"> 新能源分析师</w:t>
            </w:r>
          </w:p>
          <w:p w14:paraId="0557B8AD">
            <w:pPr>
              <w:rPr>
                <w:rFonts w:cs="Times New Roman"/>
                <w:kern w:val="0"/>
                <w:sz w:val="20"/>
                <w:szCs w:val="20"/>
              </w:rPr>
            </w:pPr>
          </w:p>
          <w:p w14:paraId="64292A22">
            <w:pPr>
              <w:rPr>
                <w:rFonts w:cs="Times New Roman"/>
                <w:kern w:val="0"/>
                <w:sz w:val="20"/>
                <w:szCs w:val="20"/>
              </w:rPr>
            </w:pPr>
            <w:r>
              <w:rPr>
                <w:rFonts w:hint="eastAsia" w:cs="Times New Roman"/>
                <w:kern w:val="0"/>
                <w:sz w:val="20"/>
                <w:szCs w:val="20"/>
              </w:rPr>
              <w:t>长期专注于新能源领域，对半导体、消费电子、氢能设备、光伏等产业链的各个环节都有长期的观察、跟踪和研究，具有丰富的行业研究经验。</w:t>
            </w:r>
          </w:p>
          <w:p w14:paraId="25F9EB87">
            <w:pPr>
              <w:rPr>
                <w:rFonts w:cs="Times New Roman"/>
                <w:kern w:val="0"/>
                <w:sz w:val="20"/>
                <w:szCs w:val="20"/>
              </w:rPr>
            </w:pPr>
            <w:r>
              <w:rPr>
                <w:rFonts w:hint="eastAsia" w:cs="Times New Roman"/>
                <w:kern w:val="0"/>
                <w:sz w:val="20"/>
                <w:szCs w:val="20"/>
              </w:rPr>
              <w:t>主导项目有储能及汽车动力电池用防爆阀，氢气燃烧器，加氢站冷水机等</w:t>
            </w:r>
          </w:p>
        </w:tc>
        <w:tc>
          <w:tcPr>
            <w:tcW w:w="2454" w:type="pct"/>
            <w:vAlign w:val="center"/>
          </w:tcPr>
          <w:p w14:paraId="7FCD59A7">
            <w:pPr>
              <w:rPr>
                <w:rFonts w:cs="Times New Roman"/>
                <w:kern w:val="0"/>
                <w:sz w:val="20"/>
                <w:szCs w:val="20"/>
              </w:rPr>
            </w:pPr>
          </w:p>
        </w:tc>
      </w:tr>
      <w:tr w14:paraId="2E096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 w:hRule="atLeast"/>
        </w:trPr>
        <w:tc>
          <w:tcPr>
            <w:tcW w:w="2546" w:type="pct"/>
            <w:vMerge w:val="continue"/>
            <w:vAlign w:val="center"/>
          </w:tcPr>
          <w:p w14:paraId="780B9D95">
            <w:pPr>
              <w:rPr>
                <w:rFonts w:cs="Times New Roman"/>
                <w:kern w:val="0"/>
                <w:sz w:val="20"/>
                <w:szCs w:val="20"/>
              </w:rPr>
            </w:pPr>
          </w:p>
        </w:tc>
        <w:tc>
          <w:tcPr>
            <w:tcW w:w="2454" w:type="pct"/>
            <w:vAlign w:val="center"/>
          </w:tcPr>
          <w:p w14:paraId="70A9680B">
            <w:pPr>
              <w:rPr>
                <w:rFonts w:cs="Times New Roman"/>
                <w:kern w:val="0"/>
                <w:sz w:val="20"/>
                <w:szCs w:val="20"/>
              </w:rPr>
            </w:pPr>
          </w:p>
        </w:tc>
      </w:tr>
      <w:tr w14:paraId="34FE0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2" w:hRule="atLeast"/>
        </w:trPr>
        <w:tc>
          <w:tcPr>
            <w:tcW w:w="2546" w:type="pct"/>
            <w:vMerge w:val="continue"/>
          </w:tcPr>
          <w:p w14:paraId="397C7BCB">
            <w:pPr>
              <w:rPr>
                <w:rFonts w:cs="Times New Roman"/>
                <w:kern w:val="0"/>
                <w:sz w:val="20"/>
                <w:szCs w:val="20"/>
              </w:rPr>
            </w:pPr>
          </w:p>
        </w:tc>
        <w:tc>
          <w:tcPr>
            <w:tcW w:w="2454" w:type="pct"/>
            <w:vAlign w:val="center"/>
          </w:tcPr>
          <w:p w14:paraId="77A5F6E8">
            <w:pPr>
              <w:rPr>
                <w:rFonts w:cs="Times New Roman"/>
                <w:kern w:val="0"/>
                <w:sz w:val="20"/>
                <w:szCs w:val="20"/>
              </w:rPr>
            </w:pPr>
          </w:p>
        </w:tc>
      </w:tr>
      <w:bookmarkEnd w:id="13"/>
    </w:tbl>
    <w:p w14:paraId="05CB6500">
      <w:pPr>
        <w:pStyle w:val="145"/>
        <w:rPr>
          <w:lang w:eastAsia="zh-CN"/>
        </w:rPr>
      </w:pP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rPr>
          <w:lang w:val="en-US" w:eastAsia="zh-CN"/>
        </w:rP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8"/>
                    <a:stretch>
                      <a:fillRect/>
                    </a:stretch>
                  </pic:blipFill>
                  <pic:spPr>
                    <a:xfrm>
                      <a:off x="0" y="0"/>
                      <a:ext cx="1219048" cy="552381"/>
                    </a:xfrm>
                    <a:prstGeom prst="rect">
                      <a:avLst/>
                    </a:prstGeom>
                  </pic:spPr>
                </pic:pic>
              </a:graphicData>
            </a:graphic>
          </wp:inline>
        </w:drawing>
      </w:r>
      <w:bookmarkStart w:id="14" w:name="_GoBack"/>
      <w:bookmarkEnd w:id="14"/>
    </w:p>
    <w:p w14:paraId="044563DD">
      <w:pPr>
        <w:pStyle w:val="145"/>
        <w:rPr>
          <w:lang w:eastAsia="zh-CN"/>
        </w:rPr>
      </w:pPr>
      <w:r>
        <w:rPr>
          <w:rFonts w:hint="eastAsia"/>
          <w:lang w:eastAsia="zh-CN"/>
        </w:rPr>
        <w:t>QYResearch（北京恒州博智国际信息咨询有限公司）成立于2007年，总部位于美国洛杉矶和中国北京。QYResearch专注为企业提供专业的市场调查报告、行业研究报告、可行性研究、IPO咨询（数据被国内招股说明书或年报大量引用）、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南宁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4FB"/>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C7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A1C"/>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21F"/>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45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DAF"/>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793"/>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0C80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8A5288-5068-4DA2-A8D0-60B976CEB462}">
  <ds:schemaRefs/>
</ds:datastoreItem>
</file>

<file path=docProps/app.xml><?xml version="1.0" encoding="utf-8"?>
<Properties xmlns="http://schemas.openxmlformats.org/officeDocument/2006/extended-properties" xmlns:vt="http://schemas.openxmlformats.org/officeDocument/2006/docPropsVTypes">
  <Template>Normal</Template>
  <Pages>7</Pages>
  <Words>1677</Words>
  <Characters>1982</Characters>
  <Lines>14</Lines>
  <Paragraphs>4</Paragraphs>
  <TotalTime>723</TotalTime>
  <ScaleCrop>false</ScaleCrop>
  <LinksUpToDate>false</LinksUpToDate>
  <CharactersWithSpaces>1998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2025-02-05T08:42:42Z</dcterms:modified>
  <cp:revision>943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eyJoZGlkIjoiMDYzNTE3ZmJhYmZjY2ZiNzUxNTI1ZTRkNzNkYTA1OTIiLCJ1c2VySWQiOiIyMzk0NzU0OTUifQ==</vt:lpwstr>
  </property>
  <property fmtid="{D5CDD505-2E9C-101B-9397-08002B2CF9AE}" pid="3" name="KSOProductBuildVer">
    <vt:lpwstr>2052-12.1.0.19302</vt:lpwstr>
  </property>
  <property fmtid="{D5CDD505-2E9C-101B-9397-08002B2CF9AE}" pid="4" name="ICV">
    <vt:lpwstr>96A959C37C9240C88BEDEBEDB8BA3990_12</vt:lpwstr>
  </property>
</Properties>
</file>