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4C7" w:rsidRDefault="00812A3A" w:rsidP="008544C7">
      <w:pPr>
        <w:shd w:val="clear" w:color="auto" w:fill="FFFFFF"/>
        <w:rPr>
          <w:rFonts w:ascii="Calibri" w:hAnsi="Calibri"/>
          <w:color w:val="333333"/>
          <w:sz w:val="18"/>
          <w:szCs w:val="18"/>
        </w:rPr>
      </w:pPr>
      <w:r>
        <w:rPr>
          <w:rFonts w:ascii="Calibri" w:hAnsi="Calibri"/>
          <w:b/>
          <w:bCs/>
          <w:color w:val="333333"/>
          <w:sz w:val="18"/>
          <w:szCs w:val="18"/>
        </w:rPr>
        <w:t>分布式天线系统（</w:t>
      </w:r>
      <w:r>
        <w:rPr>
          <w:rFonts w:ascii="Calibri" w:hAnsi="Calibri"/>
          <w:b/>
          <w:bCs/>
          <w:color w:val="333333"/>
          <w:sz w:val="18"/>
          <w:szCs w:val="18"/>
        </w:rPr>
        <w:t>DAS)</w:t>
      </w:r>
      <w:r w:rsidR="008544C7">
        <w:rPr>
          <w:rFonts w:ascii="Calibri" w:hAnsi="Calibri"/>
          <w:b/>
          <w:bCs/>
          <w:color w:val="333333"/>
          <w:sz w:val="18"/>
          <w:szCs w:val="18"/>
        </w:rPr>
        <w:t>市场</w:t>
      </w:r>
      <w:r w:rsidR="008544C7">
        <w:rPr>
          <w:rFonts w:hint="eastAsia"/>
          <w:b/>
          <w:bCs/>
          <w:color w:val="333333"/>
          <w:sz w:val="18"/>
          <w:szCs w:val="18"/>
        </w:rPr>
        <w:t>报告主要研究：</w:t>
      </w:r>
    </w:p>
    <w:p w:rsidR="008544C7" w:rsidRDefault="00812A3A" w:rsidP="008544C7">
      <w:pPr>
        <w:shd w:val="clear" w:color="auto" w:fill="FFFFFF"/>
        <w:rPr>
          <w:rFonts w:ascii="Calibri" w:hAnsi="Calibri"/>
          <w:color w:val="333333"/>
          <w:sz w:val="18"/>
          <w:szCs w:val="18"/>
        </w:rPr>
      </w:pPr>
      <w:r>
        <w:rPr>
          <w:rFonts w:ascii="Calibri" w:hAnsi="Calibri"/>
          <w:color w:val="333333"/>
          <w:sz w:val="18"/>
          <w:szCs w:val="18"/>
        </w:rPr>
        <w:t>分布式天线系统（</w:t>
      </w:r>
      <w:r>
        <w:rPr>
          <w:rFonts w:ascii="Calibri" w:hAnsi="Calibri"/>
          <w:color w:val="333333"/>
          <w:sz w:val="18"/>
          <w:szCs w:val="18"/>
        </w:rPr>
        <w:t>DAS)</w:t>
      </w:r>
      <w:r w:rsidR="008544C7">
        <w:rPr>
          <w:rFonts w:ascii="Calibri" w:hAnsi="Calibri"/>
          <w:color w:val="333333"/>
          <w:sz w:val="18"/>
          <w:szCs w:val="18"/>
        </w:rPr>
        <w:t>市场规模：</w:t>
      </w:r>
      <w:r w:rsidR="008544C7">
        <w:rPr>
          <w:rFonts w:ascii="Calibri" w:hAnsi="Calibri"/>
          <w:color w:val="333333"/>
          <w:sz w:val="18"/>
          <w:szCs w:val="18"/>
        </w:rPr>
        <w:t xml:space="preserve"> </w:t>
      </w:r>
      <w:r w:rsidR="008544C7">
        <w:rPr>
          <w:rFonts w:ascii="Calibri" w:hAnsi="Calibri"/>
          <w:color w:val="333333"/>
          <w:sz w:val="18"/>
          <w:szCs w:val="18"/>
        </w:rPr>
        <w:t>产能、产量、销售、产值、价格、成本、利润等</w:t>
      </w:r>
    </w:p>
    <w:p w:rsidR="009F6E54" w:rsidRDefault="00812A3A" w:rsidP="009F6E54">
      <w:pPr>
        <w:shd w:val="clear" w:color="auto" w:fill="FFFFFF"/>
        <w:rPr>
          <w:rFonts w:ascii="Calibri" w:hAnsi="Calibri" w:hint="eastAsia"/>
          <w:color w:val="333333"/>
          <w:sz w:val="18"/>
          <w:szCs w:val="18"/>
        </w:rPr>
      </w:pPr>
      <w:r>
        <w:rPr>
          <w:rFonts w:ascii="Calibri" w:hAnsi="Calibri"/>
          <w:color w:val="333333"/>
          <w:sz w:val="18"/>
          <w:szCs w:val="18"/>
        </w:rPr>
        <w:t>分布式天线系统（</w:t>
      </w:r>
      <w:r>
        <w:rPr>
          <w:rFonts w:ascii="Calibri" w:hAnsi="Calibri"/>
          <w:color w:val="333333"/>
          <w:sz w:val="18"/>
          <w:szCs w:val="18"/>
        </w:rPr>
        <w:t>DAS)</w:t>
      </w:r>
      <w:r w:rsidR="008544C7">
        <w:rPr>
          <w:rFonts w:ascii="Calibri" w:hAnsi="Calibri"/>
          <w:color w:val="333333"/>
          <w:sz w:val="18"/>
          <w:szCs w:val="18"/>
        </w:rPr>
        <w:t>行业竞争分析：原材料、市场应用、产品种类、市场需求、市场供给，下游市场分析、供应链分析、主要企业情况、市场份额、并购、扩张等</w:t>
      </w:r>
    </w:p>
    <w:p w:rsidR="009F6E54" w:rsidRDefault="009F6E54" w:rsidP="009F6E54">
      <w:pPr>
        <w:shd w:val="clear" w:color="auto" w:fill="FFFFFF"/>
        <w:rPr>
          <w:rFonts w:ascii="Calibri" w:hAnsi="Calibri" w:hint="eastAsia"/>
          <w:color w:val="333333"/>
          <w:sz w:val="18"/>
          <w:szCs w:val="18"/>
        </w:rPr>
      </w:pPr>
    </w:p>
    <w:p w:rsidR="00812A3A" w:rsidRPr="00812A3A" w:rsidRDefault="00812A3A" w:rsidP="00812A3A">
      <w:pPr>
        <w:shd w:val="clear" w:color="auto" w:fill="FFFFFF"/>
        <w:rPr>
          <w:rFonts w:ascii="Calibri" w:hAnsi="Calibri"/>
          <w:color w:val="333333"/>
          <w:sz w:val="18"/>
          <w:szCs w:val="18"/>
        </w:rPr>
      </w:pPr>
      <w:r w:rsidRPr="00812A3A">
        <w:rPr>
          <w:rFonts w:ascii="Calibri" w:hAnsi="Calibri" w:hint="eastAsia"/>
          <w:color w:val="333333"/>
          <w:sz w:val="18"/>
          <w:szCs w:val="18"/>
        </w:rPr>
        <w:t>分布式天线系统</w:t>
      </w:r>
      <w:r w:rsidRPr="00812A3A">
        <w:rPr>
          <w:rFonts w:ascii="Calibri" w:hAnsi="Calibri" w:hint="eastAsia"/>
          <w:color w:val="333333"/>
          <w:sz w:val="18"/>
          <w:szCs w:val="18"/>
        </w:rPr>
        <w:t>( DAS : Distributed AntennaSystem)</w:t>
      </w:r>
      <w:r w:rsidRPr="00812A3A">
        <w:rPr>
          <w:rFonts w:ascii="Calibri" w:hAnsi="Calibri" w:hint="eastAsia"/>
          <w:color w:val="333333"/>
          <w:sz w:val="18"/>
          <w:szCs w:val="18"/>
        </w:rPr>
        <w:t>是一个由盼布于某个建筑物内、专门用于提供无线室内覆盖的多个天线组成的网络。这种系统既可以是有源系统</w:t>
      </w:r>
      <w:r w:rsidRPr="00812A3A">
        <w:rPr>
          <w:rFonts w:ascii="Calibri" w:hAnsi="Calibri" w:hint="eastAsia"/>
          <w:color w:val="333333"/>
          <w:sz w:val="18"/>
          <w:szCs w:val="18"/>
        </w:rPr>
        <w:t>,</w:t>
      </w:r>
      <w:r w:rsidRPr="00812A3A">
        <w:rPr>
          <w:rFonts w:ascii="Calibri" w:hAnsi="Calibri" w:hint="eastAsia"/>
          <w:color w:val="333333"/>
          <w:sz w:val="18"/>
          <w:szCs w:val="18"/>
        </w:rPr>
        <w:t>也可以是无源系统。</w:t>
      </w:r>
    </w:p>
    <w:p w:rsidR="00812A3A" w:rsidRPr="00812A3A" w:rsidRDefault="00812A3A" w:rsidP="00812A3A">
      <w:pPr>
        <w:shd w:val="clear" w:color="auto" w:fill="FFFFFF"/>
        <w:rPr>
          <w:rFonts w:ascii="Calibri" w:hAnsi="Calibri" w:hint="eastAsia"/>
          <w:color w:val="333333"/>
          <w:sz w:val="18"/>
          <w:szCs w:val="18"/>
        </w:rPr>
      </w:pPr>
      <w:r w:rsidRPr="00812A3A">
        <w:rPr>
          <w:rFonts w:ascii="Calibri" w:hAnsi="Calibri" w:hint="eastAsia"/>
          <w:color w:val="333333"/>
          <w:sz w:val="18"/>
          <w:szCs w:val="18"/>
        </w:rPr>
        <w:t>一个无源</w:t>
      </w:r>
      <w:r w:rsidRPr="00812A3A">
        <w:rPr>
          <w:rFonts w:ascii="Calibri" w:hAnsi="Calibri" w:hint="eastAsia"/>
          <w:color w:val="333333"/>
          <w:sz w:val="18"/>
          <w:szCs w:val="18"/>
        </w:rPr>
        <w:t>DAS</w:t>
      </w:r>
      <w:r w:rsidRPr="00812A3A">
        <w:rPr>
          <w:rFonts w:ascii="Calibri" w:hAnsi="Calibri" w:hint="eastAsia"/>
          <w:color w:val="333333"/>
          <w:sz w:val="18"/>
          <w:szCs w:val="18"/>
        </w:rPr>
        <w:t>系统是一个由、耦合器和功分器</w:t>
      </w:r>
      <w:r w:rsidRPr="00812A3A">
        <w:rPr>
          <w:rFonts w:ascii="Calibri" w:hAnsi="Calibri" w:hint="eastAsia"/>
          <w:color w:val="333333"/>
          <w:sz w:val="18"/>
          <w:szCs w:val="18"/>
        </w:rPr>
        <w:t>(</w:t>
      </w:r>
      <w:r w:rsidRPr="00812A3A">
        <w:rPr>
          <w:rFonts w:ascii="Calibri" w:hAnsi="Calibri" w:hint="eastAsia"/>
          <w:color w:val="333333"/>
          <w:sz w:val="18"/>
          <w:szCs w:val="18"/>
        </w:rPr>
        <w:t>用于将</w:t>
      </w:r>
      <w:r w:rsidRPr="00812A3A">
        <w:rPr>
          <w:rFonts w:ascii="Calibri" w:hAnsi="Calibri" w:hint="eastAsia"/>
          <w:color w:val="333333"/>
          <w:sz w:val="18"/>
          <w:szCs w:val="18"/>
        </w:rPr>
        <w:t>RF</w:t>
      </w:r>
      <w:r w:rsidRPr="00812A3A">
        <w:rPr>
          <w:rFonts w:ascii="Calibri" w:hAnsi="Calibri" w:hint="eastAsia"/>
          <w:color w:val="333333"/>
          <w:sz w:val="18"/>
          <w:szCs w:val="18"/>
        </w:rPr>
        <w:t>信号分配给建筑物内的各个天线</w:t>
      </w:r>
      <w:r w:rsidRPr="00812A3A">
        <w:rPr>
          <w:rFonts w:ascii="Calibri" w:hAnsi="Calibri" w:hint="eastAsia"/>
          <w:color w:val="333333"/>
          <w:sz w:val="18"/>
          <w:szCs w:val="18"/>
        </w:rPr>
        <w:t>)</w:t>
      </w:r>
      <w:r w:rsidRPr="00812A3A">
        <w:rPr>
          <w:rFonts w:ascii="Calibri" w:hAnsi="Calibri" w:hint="eastAsia"/>
          <w:color w:val="333333"/>
          <w:sz w:val="18"/>
          <w:szCs w:val="18"/>
        </w:rPr>
        <w:t>组成的网络。无源</w:t>
      </w:r>
      <w:r w:rsidRPr="00812A3A">
        <w:rPr>
          <w:rFonts w:ascii="Calibri" w:hAnsi="Calibri" w:hint="eastAsia"/>
          <w:color w:val="333333"/>
          <w:sz w:val="18"/>
          <w:szCs w:val="18"/>
        </w:rPr>
        <w:t>DAS</w:t>
      </w:r>
      <w:r w:rsidRPr="00812A3A">
        <w:rPr>
          <w:rFonts w:ascii="Calibri" w:hAnsi="Calibri" w:hint="eastAsia"/>
          <w:color w:val="333333"/>
          <w:sz w:val="18"/>
          <w:szCs w:val="18"/>
        </w:rPr>
        <w:t>系统使用的是漏泄同轴电缆</w:t>
      </w:r>
      <w:r w:rsidRPr="00812A3A">
        <w:rPr>
          <w:rFonts w:ascii="Calibri" w:hAnsi="Calibri" w:hint="eastAsia"/>
          <w:color w:val="333333"/>
          <w:sz w:val="18"/>
          <w:szCs w:val="18"/>
        </w:rPr>
        <w:t>,</w:t>
      </w:r>
      <w:r w:rsidRPr="00812A3A">
        <w:rPr>
          <w:rFonts w:ascii="Calibri" w:hAnsi="Calibri" w:hint="eastAsia"/>
          <w:color w:val="333333"/>
          <w:sz w:val="18"/>
          <w:szCs w:val="18"/>
        </w:rPr>
        <w:t>而不是离散天线。</w:t>
      </w:r>
    </w:p>
    <w:p w:rsidR="00812A3A" w:rsidRPr="00812A3A" w:rsidRDefault="00812A3A" w:rsidP="00812A3A">
      <w:pPr>
        <w:shd w:val="clear" w:color="auto" w:fill="FFFFFF"/>
        <w:rPr>
          <w:rFonts w:ascii="Calibri" w:hAnsi="Calibri" w:hint="eastAsia"/>
          <w:color w:val="333333"/>
          <w:sz w:val="18"/>
          <w:szCs w:val="18"/>
        </w:rPr>
      </w:pPr>
      <w:r w:rsidRPr="00812A3A">
        <w:rPr>
          <w:rFonts w:ascii="Calibri" w:hAnsi="Calibri" w:hint="eastAsia"/>
          <w:color w:val="333333"/>
          <w:sz w:val="18"/>
          <w:szCs w:val="18"/>
        </w:rPr>
        <w:t>使用漏泄同轴电缆还是使用离散天线通常取决于建筑结构和安装条件。有源</w:t>
      </w:r>
      <w:r w:rsidRPr="00812A3A">
        <w:rPr>
          <w:rFonts w:ascii="Calibri" w:hAnsi="Calibri" w:hint="eastAsia"/>
          <w:color w:val="333333"/>
          <w:sz w:val="18"/>
          <w:szCs w:val="18"/>
        </w:rPr>
        <w:t>DAS</w:t>
      </w:r>
      <w:r w:rsidRPr="00812A3A">
        <w:rPr>
          <w:rFonts w:ascii="Calibri" w:hAnsi="Calibri" w:hint="eastAsia"/>
          <w:color w:val="333333"/>
          <w:sz w:val="18"/>
          <w:szCs w:val="18"/>
        </w:rPr>
        <w:t>系统通常采用光信号分配技术，由一个本地接口单元将</w:t>
      </w:r>
      <w:r w:rsidRPr="00812A3A">
        <w:rPr>
          <w:rFonts w:ascii="Calibri" w:hAnsi="Calibri" w:hint="eastAsia"/>
          <w:color w:val="333333"/>
          <w:sz w:val="18"/>
          <w:szCs w:val="18"/>
        </w:rPr>
        <w:t>RBS</w:t>
      </w:r>
      <w:r w:rsidRPr="00812A3A">
        <w:rPr>
          <w:rFonts w:ascii="Calibri" w:hAnsi="Calibri" w:hint="eastAsia"/>
          <w:color w:val="333333"/>
          <w:sz w:val="18"/>
          <w:szCs w:val="18"/>
        </w:rPr>
        <w:t>的</w:t>
      </w:r>
      <w:r w:rsidRPr="00812A3A">
        <w:rPr>
          <w:rFonts w:ascii="Calibri" w:hAnsi="Calibri" w:hint="eastAsia"/>
          <w:color w:val="333333"/>
          <w:sz w:val="18"/>
          <w:szCs w:val="18"/>
        </w:rPr>
        <w:t>RF</w:t>
      </w:r>
      <w:r w:rsidRPr="00812A3A">
        <w:rPr>
          <w:rFonts w:ascii="Calibri" w:hAnsi="Calibri" w:hint="eastAsia"/>
          <w:color w:val="333333"/>
          <w:sz w:val="18"/>
          <w:szCs w:val="18"/>
        </w:rPr>
        <w:t>信号转换为光信号。这些光信号然后通过光缆分配给多个远端单元</w:t>
      </w:r>
      <w:r w:rsidRPr="00812A3A">
        <w:rPr>
          <w:rFonts w:ascii="Calibri" w:hAnsi="Calibri" w:hint="eastAsia"/>
          <w:color w:val="333333"/>
          <w:sz w:val="18"/>
          <w:szCs w:val="18"/>
        </w:rPr>
        <w:t>,</w:t>
      </w:r>
      <w:r w:rsidRPr="00812A3A">
        <w:rPr>
          <w:rFonts w:ascii="Calibri" w:hAnsi="Calibri" w:hint="eastAsia"/>
          <w:color w:val="333333"/>
          <w:sz w:val="18"/>
          <w:szCs w:val="18"/>
        </w:rPr>
        <w:t>远端单元再将它们转换回</w:t>
      </w:r>
      <w:r w:rsidRPr="00812A3A">
        <w:rPr>
          <w:rFonts w:ascii="Calibri" w:hAnsi="Calibri" w:hint="eastAsia"/>
          <w:color w:val="333333"/>
          <w:sz w:val="18"/>
          <w:szCs w:val="18"/>
        </w:rPr>
        <w:t>RF</w:t>
      </w:r>
      <w:r w:rsidRPr="00812A3A">
        <w:rPr>
          <w:rFonts w:ascii="Calibri" w:hAnsi="Calibri" w:hint="eastAsia"/>
          <w:color w:val="333333"/>
          <w:sz w:val="18"/>
          <w:szCs w:val="18"/>
        </w:rPr>
        <w:t>信号。</w:t>
      </w:r>
    </w:p>
    <w:p w:rsidR="00812A3A" w:rsidRPr="00812A3A" w:rsidRDefault="00812A3A" w:rsidP="00812A3A">
      <w:pPr>
        <w:shd w:val="clear" w:color="auto" w:fill="FFFFFF"/>
        <w:rPr>
          <w:rFonts w:ascii="Calibri" w:hAnsi="Calibri" w:hint="eastAsia"/>
          <w:color w:val="333333"/>
          <w:sz w:val="18"/>
          <w:szCs w:val="18"/>
        </w:rPr>
      </w:pPr>
      <w:r w:rsidRPr="00812A3A">
        <w:rPr>
          <w:rFonts w:ascii="Calibri" w:hAnsi="Calibri" w:hint="eastAsia"/>
          <w:color w:val="333333"/>
          <w:sz w:val="18"/>
          <w:szCs w:val="18"/>
        </w:rPr>
        <w:t>天线或同轴电缆小型分配网络与每一个远端单元相连</w:t>
      </w:r>
      <w:r w:rsidRPr="00812A3A">
        <w:rPr>
          <w:rFonts w:ascii="Calibri" w:hAnsi="Calibri" w:hint="eastAsia"/>
          <w:color w:val="333333"/>
          <w:sz w:val="18"/>
          <w:szCs w:val="18"/>
        </w:rPr>
        <w:t xml:space="preserve"> ,</w:t>
      </w:r>
      <w:r w:rsidRPr="00812A3A">
        <w:rPr>
          <w:rFonts w:ascii="Calibri" w:hAnsi="Calibri" w:hint="eastAsia"/>
          <w:color w:val="333333"/>
          <w:sz w:val="18"/>
          <w:szCs w:val="18"/>
        </w:rPr>
        <w:t>用于覆盖每一个楼层。源</w:t>
      </w:r>
      <w:r w:rsidRPr="00812A3A">
        <w:rPr>
          <w:rFonts w:ascii="Calibri" w:hAnsi="Calibri" w:hint="eastAsia"/>
          <w:color w:val="333333"/>
          <w:sz w:val="18"/>
          <w:szCs w:val="18"/>
        </w:rPr>
        <w:t>DAS</w:t>
      </w:r>
      <w:r w:rsidRPr="00812A3A">
        <w:rPr>
          <w:rFonts w:ascii="Calibri" w:hAnsi="Calibri" w:hint="eastAsia"/>
          <w:color w:val="333333"/>
          <w:sz w:val="18"/>
          <w:szCs w:val="18"/>
        </w:rPr>
        <w:t>系统与其它的系统相比拥有很多优势。例如</w:t>
      </w:r>
      <w:r w:rsidRPr="00812A3A">
        <w:rPr>
          <w:rFonts w:ascii="Calibri" w:hAnsi="Calibri" w:hint="eastAsia"/>
          <w:color w:val="333333"/>
          <w:sz w:val="18"/>
          <w:szCs w:val="18"/>
        </w:rPr>
        <w:t>,</w:t>
      </w:r>
      <w:r w:rsidRPr="00812A3A">
        <w:rPr>
          <w:rFonts w:ascii="Calibri" w:hAnsi="Calibri" w:hint="eastAsia"/>
          <w:color w:val="333333"/>
          <w:sz w:val="18"/>
          <w:szCs w:val="18"/>
        </w:rPr>
        <w:t>无源</w:t>
      </w:r>
      <w:r w:rsidRPr="00812A3A">
        <w:rPr>
          <w:rFonts w:ascii="Calibri" w:hAnsi="Calibri" w:hint="eastAsia"/>
          <w:color w:val="333333"/>
          <w:sz w:val="18"/>
          <w:szCs w:val="18"/>
        </w:rPr>
        <w:t>DAS</w:t>
      </w:r>
      <w:r w:rsidRPr="00812A3A">
        <w:rPr>
          <w:rFonts w:ascii="Calibri" w:hAnsi="Calibri" w:hint="eastAsia"/>
          <w:color w:val="333333"/>
          <w:sz w:val="18"/>
          <w:szCs w:val="18"/>
        </w:rPr>
        <w:t>系统的初期投入较低，可靠性更高。</w:t>
      </w:r>
    </w:p>
    <w:p w:rsidR="00812A3A" w:rsidRPr="00812A3A" w:rsidRDefault="00812A3A" w:rsidP="00812A3A">
      <w:pPr>
        <w:shd w:val="clear" w:color="auto" w:fill="FFFFFF"/>
        <w:rPr>
          <w:rFonts w:ascii="Calibri" w:hAnsi="Calibri" w:hint="eastAsia"/>
          <w:color w:val="333333"/>
          <w:sz w:val="18"/>
          <w:szCs w:val="18"/>
        </w:rPr>
      </w:pPr>
      <w:r w:rsidRPr="00812A3A">
        <w:rPr>
          <w:rFonts w:ascii="Calibri" w:hAnsi="Calibri" w:hint="eastAsia"/>
          <w:color w:val="333333"/>
          <w:sz w:val="18"/>
          <w:szCs w:val="18"/>
        </w:rPr>
        <w:t>尤其是</w:t>
      </w:r>
      <w:r w:rsidRPr="00812A3A">
        <w:rPr>
          <w:rFonts w:ascii="Calibri" w:hAnsi="Calibri" w:hint="eastAsia"/>
          <w:color w:val="333333"/>
          <w:sz w:val="18"/>
          <w:szCs w:val="18"/>
        </w:rPr>
        <w:t>3G</w:t>
      </w:r>
      <w:r w:rsidRPr="00812A3A">
        <w:rPr>
          <w:rFonts w:ascii="Calibri" w:hAnsi="Calibri" w:hint="eastAsia"/>
          <w:color w:val="333333"/>
          <w:sz w:val="18"/>
          <w:szCs w:val="18"/>
        </w:rPr>
        <w:t>到来的时候</w:t>
      </w:r>
      <w:r w:rsidRPr="00812A3A">
        <w:rPr>
          <w:rFonts w:ascii="Calibri" w:hAnsi="Calibri" w:hint="eastAsia"/>
          <w:color w:val="333333"/>
          <w:sz w:val="18"/>
          <w:szCs w:val="18"/>
        </w:rPr>
        <w:t xml:space="preserve">, </w:t>
      </w:r>
      <w:r w:rsidRPr="00812A3A">
        <w:rPr>
          <w:rFonts w:ascii="Calibri" w:hAnsi="Calibri" w:hint="eastAsia"/>
          <w:color w:val="333333"/>
          <w:sz w:val="18"/>
          <w:szCs w:val="18"/>
        </w:rPr>
        <w:t>作为一</w:t>
      </w:r>
      <w:r w:rsidRPr="00812A3A">
        <w:rPr>
          <w:rFonts w:ascii="Calibri" w:hAnsi="Calibri" w:hint="eastAsia"/>
          <w:color w:val="333333"/>
          <w:sz w:val="18"/>
          <w:szCs w:val="18"/>
        </w:rPr>
        <w:t>-</w:t>
      </w:r>
      <w:r w:rsidRPr="00812A3A">
        <w:rPr>
          <w:rFonts w:ascii="Calibri" w:hAnsi="Calibri" w:hint="eastAsia"/>
          <w:color w:val="333333"/>
          <w:sz w:val="18"/>
          <w:szCs w:val="18"/>
        </w:rPr>
        <w:t>种宽带系统</w:t>
      </w:r>
      <w:r w:rsidRPr="00812A3A">
        <w:rPr>
          <w:rFonts w:ascii="Calibri" w:hAnsi="Calibri" w:hint="eastAsia"/>
          <w:color w:val="333333"/>
          <w:sz w:val="18"/>
          <w:szCs w:val="18"/>
        </w:rPr>
        <w:t>,</w:t>
      </w:r>
      <w:r w:rsidRPr="00812A3A">
        <w:rPr>
          <w:rFonts w:ascii="Calibri" w:hAnsi="Calibri" w:hint="eastAsia"/>
          <w:color w:val="333333"/>
          <w:sz w:val="18"/>
          <w:szCs w:val="18"/>
        </w:rPr>
        <w:t>无源</w:t>
      </w:r>
      <w:r w:rsidRPr="00812A3A">
        <w:rPr>
          <w:rFonts w:ascii="Calibri" w:hAnsi="Calibri" w:hint="eastAsia"/>
          <w:color w:val="333333"/>
          <w:sz w:val="18"/>
          <w:szCs w:val="18"/>
        </w:rPr>
        <w:t>DAS</w:t>
      </w:r>
      <w:r w:rsidRPr="00812A3A">
        <w:rPr>
          <w:rFonts w:ascii="Calibri" w:hAnsi="Calibri" w:hint="eastAsia"/>
          <w:color w:val="333333"/>
          <w:sz w:val="18"/>
          <w:szCs w:val="18"/>
        </w:rPr>
        <w:t>解决方案还非常适合多运营商和多业务系统使用</w:t>
      </w:r>
      <w:r w:rsidRPr="00812A3A">
        <w:rPr>
          <w:rFonts w:ascii="Calibri" w:hAnsi="Calibri" w:hint="eastAsia"/>
          <w:color w:val="333333"/>
          <w:sz w:val="18"/>
          <w:szCs w:val="18"/>
        </w:rPr>
        <w:t>,</w:t>
      </w:r>
      <w:r w:rsidRPr="00812A3A">
        <w:rPr>
          <w:rFonts w:ascii="Calibri" w:hAnsi="Calibri" w:hint="eastAsia"/>
          <w:color w:val="333333"/>
          <w:sz w:val="18"/>
          <w:szCs w:val="18"/>
        </w:rPr>
        <w:t>其中包括所有类型的无线业务</w:t>
      </w:r>
      <w:r w:rsidRPr="00812A3A">
        <w:rPr>
          <w:rFonts w:ascii="Calibri" w:hAnsi="Calibri" w:hint="eastAsia"/>
          <w:color w:val="333333"/>
          <w:sz w:val="18"/>
          <w:szCs w:val="18"/>
        </w:rPr>
        <w:t>,</w:t>
      </w:r>
      <w:r w:rsidRPr="00812A3A">
        <w:rPr>
          <w:rFonts w:ascii="Calibri" w:hAnsi="Calibri" w:hint="eastAsia"/>
          <w:color w:val="333333"/>
          <w:sz w:val="18"/>
          <w:szCs w:val="18"/>
        </w:rPr>
        <w:t>如集群移动通信系统、蜂窝系统和速率高达</w:t>
      </w:r>
      <w:r w:rsidRPr="00812A3A">
        <w:rPr>
          <w:rFonts w:ascii="Calibri" w:hAnsi="Calibri" w:hint="eastAsia"/>
          <w:color w:val="333333"/>
          <w:sz w:val="18"/>
          <w:szCs w:val="18"/>
        </w:rPr>
        <w:t>2.5GHz</w:t>
      </w:r>
      <w:r w:rsidRPr="00812A3A">
        <w:rPr>
          <w:rFonts w:ascii="Calibri" w:hAnsi="Calibri" w:hint="eastAsia"/>
          <w:color w:val="333333"/>
          <w:sz w:val="18"/>
          <w:szCs w:val="18"/>
        </w:rPr>
        <w:t>的无线局域网</w:t>
      </w:r>
      <w:r w:rsidRPr="00812A3A">
        <w:rPr>
          <w:rFonts w:ascii="Calibri" w:hAnsi="Calibri" w:hint="eastAsia"/>
          <w:color w:val="333333"/>
          <w:sz w:val="18"/>
          <w:szCs w:val="18"/>
        </w:rPr>
        <w:t>( WLA .N)</w:t>
      </w:r>
      <w:r w:rsidRPr="00812A3A">
        <w:rPr>
          <w:rFonts w:ascii="Calibri" w:hAnsi="Calibri" w:hint="eastAsia"/>
          <w:color w:val="333333"/>
          <w:sz w:val="18"/>
          <w:szCs w:val="18"/>
        </w:rPr>
        <w:t>。由于对于不同的建筑物</w:t>
      </w:r>
      <w:r w:rsidRPr="00812A3A">
        <w:rPr>
          <w:rFonts w:ascii="Calibri" w:hAnsi="Calibri" w:hint="eastAsia"/>
          <w:color w:val="333333"/>
          <w:sz w:val="18"/>
          <w:szCs w:val="18"/>
        </w:rPr>
        <w:t>,</w:t>
      </w:r>
      <w:r w:rsidRPr="00812A3A">
        <w:rPr>
          <w:rFonts w:ascii="Calibri" w:hAnsi="Calibri" w:hint="eastAsia"/>
          <w:color w:val="333333"/>
          <w:sz w:val="18"/>
          <w:szCs w:val="18"/>
        </w:rPr>
        <w:t>每个区域对于无线宽带的覆盖要求有所不同</w:t>
      </w:r>
      <w:r w:rsidRPr="00812A3A">
        <w:rPr>
          <w:rFonts w:ascii="Calibri" w:hAnsi="Calibri" w:hint="eastAsia"/>
          <w:color w:val="333333"/>
          <w:sz w:val="18"/>
          <w:szCs w:val="18"/>
        </w:rPr>
        <w:t xml:space="preserve">, </w:t>
      </w:r>
      <w:r w:rsidRPr="00812A3A">
        <w:rPr>
          <w:rFonts w:ascii="Calibri" w:hAnsi="Calibri" w:hint="eastAsia"/>
          <w:color w:val="333333"/>
          <w:sz w:val="18"/>
          <w:szCs w:val="18"/>
        </w:rPr>
        <w:t>无源的方案能够根据不同建筑的覆盖要求</w:t>
      </w:r>
      <w:r w:rsidRPr="00812A3A">
        <w:rPr>
          <w:rFonts w:ascii="Calibri" w:hAnsi="Calibri" w:hint="eastAsia"/>
          <w:color w:val="333333"/>
          <w:sz w:val="18"/>
          <w:szCs w:val="18"/>
        </w:rPr>
        <w:t>,</w:t>
      </w:r>
      <w:r w:rsidRPr="00812A3A">
        <w:rPr>
          <w:rFonts w:ascii="Calibri" w:hAnsi="Calibri" w:hint="eastAsia"/>
          <w:color w:val="333333"/>
          <w:sz w:val="18"/>
          <w:szCs w:val="18"/>
        </w:rPr>
        <w:t>分别对不同的系统进行分区域的覆盖</w:t>
      </w:r>
      <w:r w:rsidRPr="00812A3A">
        <w:rPr>
          <w:rFonts w:ascii="Calibri" w:hAnsi="Calibri" w:hint="eastAsia"/>
          <w:color w:val="333333"/>
          <w:sz w:val="18"/>
          <w:szCs w:val="18"/>
        </w:rPr>
        <w:t>,</w:t>
      </w:r>
      <w:r w:rsidRPr="00812A3A">
        <w:rPr>
          <w:rFonts w:ascii="Calibri" w:hAnsi="Calibri" w:hint="eastAsia"/>
          <w:color w:val="333333"/>
          <w:sz w:val="18"/>
          <w:szCs w:val="18"/>
        </w:rPr>
        <w:t>避免了大规模无选择性覆盖对于系统和功率的损耗。正因为如此现有大多数复杂的室内覆盖系统都是无源</w:t>
      </w:r>
      <w:r w:rsidRPr="00812A3A">
        <w:rPr>
          <w:rFonts w:ascii="Calibri" w:hAnsi="Calibri" w:hint="eastAsia"/>
          <w:color w:val="333333"/>
          <w:sz w:val="18"/>
          <w:szCs w:val="18"/>
        </w:rPr>
        <w:t>DAS</w:t>
      </w:r>
      <w:r w:rsidRPr="00812A3A">
        <w:rPr>
          <w:rFonts w:ascii="Calibri" w:hAnsi="Calibri" w:hint="eastAsia"/>
          <w:color w:val="333333"/>
          <w:sz w:val="18"/>
          <w:szCs w:val="18"/>
        </w:rPr>
        <w:t>解决方案。</w:t>
      </w:r>
    </w:p>
    <w:p w:rsidR="00812A3A" w:rsidRPr="00812A3A" w:rsidRDefault="00812A3A" w:rsidP="00812A3A">
      <w:pPr>
        <w:shd w:val="clear" w:color="auto" w:fill="FFFFFF"/>
        <w:rPr>
          <w:rFonts w:ascii="Calibri" w:hAnsi="Calibri" w:hint="eastAsia"/>
          <w:color w:val="333333"/>
          <w:sz w:val="18"/>
          <w:szCs w:val="18"/>
        </w:rPr>
      </w:pPr>
      <w:r w:rsidRPr="00812A3A">
        <w:rPr>
          <w:rFonts w:ascii="Calibri" w:hAnsi="Calibri" w:hint="eastAsia"/>
          <w:color w:val="333333"/>
          <w:sz w:val="18"/>
          <w:szCs w:val="18"/>
        </w:rPr>
        <w:t>报告显示，</w:t>
      </w:r>
      <w:r w:rsidRPr="00812A3A">
        <w:rPr>
          <w:rFonts w:ascii="Calibri" w:hAnsi="Calibri" w:hint="eastAsia"/>
          <w:color w:val="333333"/>
          <w:sz w:val="18"/>
          <w:szCs w:val="18"/>
        </w:rPr>
        <w:t>2023</w:t>
      </w:r>
      <w:r w:rsidRPr="00812A3A">
        <w:rPr>
          <w:rFonts w:ascii="Calibri" w:hAnsi="Calibri" w:hint="eastAsia"/>
          <w:color w:val="333333"/>
          <w:sz w:val="18"/>
          <w:szCs w:val="18"/>
        </w:rPr>
        <w:t>年全球分布式天线系统（</w:t>
      </w:r>
      <w:r w:rsidRPr="00812A3A">
        <w:rPr>
          <w:rFonts w:ascii="Calibri" w:hAnsi="Calibri" w:hint="eastAsia"/>
          <w:color w:val="333333"/>
          <w:sz w:val="18"/>
          <w:szCs w:val="18"/>
        </w:rPr>
        <w:t>DAS</w:t>
      </w:r>
      <w:r w:rsidRPr="00812A3A">
        <w:rPr>
          <w:rFonts w:ascii="Calibri" w:hAnsi="Calibri" w:hint="eastAsia"/>
          <w:color w:val="333333"/>
          <w:sz w:val="18"/>
          <w:szCs w:val="18"/>
        </w:rPr>
        <w:t>）市场规模大约为</w:t>
      </w:r>
      <w:r w:rsidRPr="00812A3A">
        <w:rPr>
          <w:rFonts w:ascii="Calibri" w:hAnsi="Calibri" w:hint="eastAsia"/>
          <w:color w:val="333333"/>
          <w:sz w:val="18"/>
          <w:szCs w:val="18"/>
        </w:rPr>
        <w:t>97</w:t>
      </w:r>
      <w:r w:rsidRPr="00812A3A">
        <w:rPr>
          <w:rFonts w:ascii="Calibri" w:hAnsi="Calibri" w:hint="eastAsia"/>
          <w:color w:val="333333"/>
          <w:sz w:val="18"/>
          <w:szCs w:val="18"/>
        </w:rPr>
        <w:t>亿元（人民币），预计</w:t>
      </w:r>
      <w:r w:rsidRPr="00812A3A">
        <w:rPr>
          <w:rFonts w:ascii="Calibri" w:hAnsi="Calibri" w:hint="eastAsia"/>
          <w:color w:val="333333"/>
          <w:sz w:val="18"/>
          <w:szCs w:val="18"/>
        </w:rPr>
        <w:t>2030</w:t>
      </w:r>
      <w:r w:rsidRPr="00812A3A">
        <w:rPr>
          <w:rFonts w:ascii="Calibri" w:hAnsi="Calibri" w:hint="eastAsia"/>
          <w:color w:val="333333"/>
          <w:sz w:val="18"/>
          <w:szCs w:val="18"/>
        </w:rPr>
        <w:t>年将达到</w:t>
      </w:r>
      <w:r w:rsidRPr="00812A3A">
        <w:rPr>
          <w:rFonts w:ascii="Calibri" w:hAnsi="Calibri" w:hint="eastAsia"/>
          <w:color w:val="333333"/>
          <w:sz w:val="18"/>
          <w:szCs w:val="18"/>
        </w:rPr>
        <w:t>178</w:t>
      </w:r>
      <w:r w:rsidRPr="00812A3A">
        <w:rPr>
          <w:rFonts w:ascii="Calibri" w:hAnsi="Calibri" w:hint="eastAsia"/>
          <w:color w:val="333333"/>
          <w:sz w:val="18"/>
          <w:szCs w:val="18"/>
        </w:rPr>
        <w:t>亿元，</w:t>
      </w:r>
      <w:r w:rsidRPr="00812A3A">
        <w:rPr>
          <w:rFonts w:ascii="Calibri" w:hAnsi="Calibri" w:hint="eastAsia"/>
          <w:color w:val="333333"/>
          <w:sz w:val="18"/>
          <w:szCs w:val="18"/>
        </w:rPr>
        <w:t>2024-2030</w:t>
      </w:r>
      <w:r w:rsidRPr="00812A3A">
        <w:rPr>
          <w:rFonts w:ascii="Calibri" w:hAnsi="Calibri" w:hint="eastAsia"/>
          <w:color w:val="333333"/>
          <w:sz w:val="18"/>
          <w:szCs w:val="18"/>
        </w:rPr>
        <w:t>期间年复合增长率（</w:t>
      </w:r>
      <w:r w:rsidRPr="00812A3A">
        <w:rPr>
          <w:rFonts w:ascii="Calibri" w:hAnsi="Calibri" w:hint="eastAsia"/>
          <w:color w:val="333333"/>
          <w:sz w:val="18"/>
          <w:szCs w:val="18"/>
        </w:rPr>
        <w:t>CAGR</w:t>
      </w:r>
      <w:r w:rsidRPr="00812A3A">
        <w:rPr>
          <w:rFonts w:ascii="Calibri" w:hAnsi="Calibri" w:hint="eastAsia"/>
          <w:color w:val="333333"/>
          <w:sz w:val="18"/>
          <w:szCs w:val="18"/>
        </w:rPr>
        <w:t>）为</w:t>
      </w:r>
      <w:r w:rsidRPr="00812A3A">
        <w:rPr>
          <w:rFonts w:ascii="Calibri" w:hAnsi="Calibri" w:hint="eastAsia"/>
          <w:color w:val="333333"/>
          <w:sz w:val="18"/>
          <w:szCs w:val="18"/>
        </w:rPr>
        <w:t>8.7%</w:t>
      </w:r>
      <w:r w:rsidRPr="00812A3A">
        <w:rPr>
          <w:rFonts w:ascii="Calibri" w:hAnsi="Calibri" w:hint="eastAsia"/>
          <w:color w:val="333333"/>
          <w:sz w:val="18"/>
          <w:szCs w:val="18"/>
        </w:rPr>
        <w:t>。</w:t>
      </w:r>
    </w:p>
    <w:p w:rsidR="00812A3A" w:rsidRPr="00812A3A" w:rsidRDefault="00812A3A" w:rsidP="00812A3A">
      <w:pPr>
        <w:shd w:val="clear" w:color="auto" w:fill="FFFFFF"/>
        <w:rPr>
          <w:rFonts w:ascii="Calibri" w:hAnsi="Calibri" w:hint="eastAsia"/>
          <w:color w:val="333333"/>
          <w:sz w:val="18"/>
          <w:szCs w:val="18"/>
        </w:rPr>
      </w:pPr>
      <w:r w:rsidRPr="00812A3A">
        <w:rPr>
          <w:rFonts w:ascii="Calibri" w:hAnsi="Calibri" w:hint="eastAsia"/>
          <w:color w:val="333333"/>
          <w:sz w:val="18"/>
          <w:szCs w:val="18"/>
        </w:rPr>
        <w:t>全球分布式天线系统（</w:t>
      </w:r>
      <w:r w:rsidRPr="00812A3A">
        <w:rPr>
          <w:rFonts w:ascii="Calibri" w:hAnsi="Calibri" w:hint="eastAsia"/>
          <w:color w:val="333333"/>
          <w:sz w:val="18"/>
          <w:szCs w:val="18"/>
        </w:rPr>
        <w:t>Distributed Antenna Systems (DAS)</w:t>
      </w:r>
      <w:r w:rsidRPr="00812A3A">
        <w:rPr>
          <w:rFonts w:ascii="Calibri" w:hAnsi="Calibri" w:hint="eastAsia"/>
          <w:color w:val="333333"/>
          <w:sz w:val="18"/>
          <w:szCs w:val="18"/>
        </w:rPr>
        <w:t>）主要厂商有</w:t>
      </w:r>
      <w:r w:rsidRPr="00812A3A">
        <w:rPr>
          <w:rFonts w:ascii="Calibri" w:hAnsi="Calibri" w:hint="eastAsia"/>
          <w:color w:val="333333"/>
          <w:sz w:val="18"/>
          <w:szCs w:val="18"/>
        </w:rPr>
        <w:t>CommScope</w:t>
      </w:r>
      <w:r w:rsidRPr="00812A3A">
        <w:rPr>
          <w:rFonts w:ascii="Calibri" w:hAnsi="Calibri" w:hint="eastAsia"/>
          <w:color w:val="333333"/>
          <w:sz w:val="18"/>
          <w:szCs w:val="18"/>
        </w:rPr>
        <w:t>、</w:t>
      </w:r>
      <w:r w:rsidRPr="00812A3A">
        <w:rPr>
          <w:rFonts w:ascii="Calibri" w:hAnsi="Calibri" w:hint="eastAsia"/>
          <w:color w:val="333333"/>
          <w:sz w:val="18"/>
          <w:szCs w:val="18"/>
        </w:rPr>
        <w:t>Solid, Inc</w:t>
      </w:r>
      <w:r w:rsidRPr="00812A3A">
        <w:rPr>
          <w:rFonts w:ascii="Calibri" w:hAnsi="Calibri" w:hint="eastAsia"/>
          <w:color w:val="333333"/>
          <w:sz w:val="18"/>
          <w:szCs w:val="18"/>
        </w:rPr>
        <w:t>、</w:t>
      </w:r>
      <w:r w:rsidRPr="00812A3A">
        <w:rPr>
          <w:rFonts w:ascii="Calibri" w:hAnsi="Calibri" w:hint="eastAsia"/>
          <w:color w:val="333333"/>
          <w:sz w:val="18"/>
          <w:szCs w:val="18"/>
        </w:rPr>
        <w:t>JMA Wireless</w:t>
      </w:r>
      <w:r w:rsidRPr="00812A3A">
        <w:rPr>
          <w:rFonts w:ascii="Calibri" w:hAnsi="Calibri" w:hint="eastAsia"/>
          <w:color w:val="333333"/>
          <w:sz w:val="18"/>
          <w:szCs w:val="18"/>
        </w:rPr>
        <w:t>、</w:t>
      </w:r>
      <w:r w:rsidRPr="00812A3A">
        <w:rPr>
          <w:rFonts w:ascii="Calibri" w:hAnsi="Calibri" w:hint="eastAsia"/>
          <w:color w:val="333333"/>
          <w:sz w:val="18"/>
          <w:szCs w:val="18"/>
        </w:rPr>
        <w:t>Comba Telecom</w:t>
      </w:r>
      <w:r w:rsidRPr="00812A3A">
        <w:rPr>
          <w:rFonts w:ascii="Calibri" w:hAnsi="Calibri" w:hint="eastAsia"/>
          <w:color w:val="333333"/>
          <w:sz w:val="18"/>
          <w:szCs w:val="18"/>
        </w:rPr>
        <w:t>和</w:t>
      </w:r>
      <w:r w:rsidRPr="00812A3A">
        <w:rPr>
          <w:rFonts w:ascii="Calibri" w:hAnsi="Calibri" w:hint="eastAsia"/>
          <w:color w:val="333333"/>
          <w:sz w:val="18"/>
          <w:szCs w:val="18"/>
        </w:rPr>
        <w:t>Corning</w:t>
      </w:r>
      <w:r w:rsidRPr="00812A3A">
        <w:rPr>
          <w:rFonts w:ascii="Calibri" w:hAnsi="Calibri" w:hint="eastAsia"/>
          <w:color w:val="333333"/>
          <w:sz w:val="18"/>
          <w:szCs w:val="18"/>
        </w:rPr>
        <w:t>等，全球前五大厂商共占有接近</w:t>
      </w:r>
      <w:r w:rsidRPr="00812A3A">
        <w:rPr>
          <w:rFonts w:ascii="Calibri" w:hAnsi="Calibri" w:hint="eastAsia"/>
          <w:color w:val="333333"/>
          <w:sz w:val="18"/>
          <w:szCs w:val="18"/>
        </w:rPr>
        <w:t>60%</w:t>
      </w:r>
      <w:r w:rsidRPr="00812A3A">
        <w:rPr>
          <w:rFonts w:ascii="Calibri" w:hAnsi="Calibri" w:hint="eastAsia"/>
          <w:color w:val="333333"/>
          <w:sz w:val="18"/>
          <w:szCs w:val="18"/>
        </w:rPr>
        <w:t>的市场份额。目前亚太是全球最大的分布式天线系统（</w:t>
      </w:r>
      <w:r w:rsidRPr="00812A3A">
        <w:rPr>
          <w:rFonts w:ascii="Calibri" w:hAnsi="Calibri" w:hint="eastAsia"/>
          <w:color w:val="333333"/>
          <w:sz w:val="18"/>
          <w:szCs w:val="18"/>
        </w:rPr>
        <w:t>DAS</w:t>
      </w:r>
      <w:r w:rsidRPr="00812A3A">
        <w:rPr>
          <w:rFonts w:ascii="Calibri" w:hAnsi="Calibri" w:hint="eastAsia"/>
          <w:color w:val="333333"/>
          <w:sz w:val="18"/>
          <w:szCs w:val="18"/>
        </w:rPr>
        <w:t>）市场，占有超过</w:t>
      </w:r>
      <w:r w:rsidRPr="00812A3A">
        <w:rPr>
          <w:rFonts w:ascii="Calibri" w:hAnsi="Calibri" w:hint="eastAsia"/>
          <w:color w:val="333333"/>
          <w:sz w:val="18"/>
          <w:szCs w:val="18"/>
        </w:rPr>
        <w:t>43%</w:t>
      </w:r>
      <w:r w:rsidRPr="00812A3A">
        <w:rPr>
          <w:rFonts w:ascii="Calibri" w:hAnsi="Calibri" w:hint="eastAsia"/>
          <w:color w:val="333333"/>
          <w:sz w:val="18"/>
          <w:szCs w:val="18"/>
        </w:rPr>
        <w:t>的市场份额，之后是北美和欧洲市场。就产品类型而言，混合</w:t>
      </w:r>
      <w:r w:rsidRPr="00812A3A">
        <w:rPr>
          <w:rFonts w:ascii="Calibri" w:hAnsi="Calibri" w:hint="eastAsia"/>
          <w:color w:val="333333"/>
          <w:sz w:val="18"/>
          <w:szCs w:val="18"/>
        </w:rPr>
        <w:t>DAS</w:t>
      </w:r>
      <w:r w:rsidRPr="00812A3A">
        <w:rPr>
          <w:rFonts w:ascii="Calibri" w:hAnsi="Calibri" w:hint="eastAsia"/>
          <w:color w:val="333333"/>
          <w:sz w:val="18"/>
          <w:szCs w:val="18"/>
        </w:rPr>
        <w:t>是最大的细分，占有大约</w:t>
      </w:r>
      <w:r w:rsidRPr="00812A3A">
        <w:rPr>
          <w:rFonts w:ascii="Calibri" w:hAnsi="Calibri" w:hint="eastAsia"/>
          <w:color w:val="333333"/>
          <w:sz w:val="18"/>
          <w:szCs w:val="18"/>
        </w:rPr>
        <w:t>49%</w:t>
      </w:r>
      <w:r w:rsidRPr="00812A3A">
        <w:rPr>
          <w:rFonts w:ascii="Calibri" w:hAnsi="Calibri" w:hint="eastAsia"/>
          <w:color w:val="333333"/>
          <w:sz w:val="18"/>
          <w:szCs w:val="18"/>
        </w:rPr>
        <w:t>的份额，同时就下游来说，办公大楼是最大的下游领域，占有</w:t>
      </w:r>
      <w:r w:rsidRPr="00812A3A">
        <w:rPr>
          <w:rFonts w:ascii="Calibri" w:hAnsi="Calibri" w:hint="eastAsia"/>
          <w:color w:val="333333"/>
          <w:sz w:val="18"/>
          <w:szCs w:val="18"/>
        </w:rPr>
        <w:t>20%</w:t>
      </w:r>
      <w:r w:rsidRPr="00812A3A">
        <w:rPr>
          <w:rFonts w:ascii="Calibri" w:hAnsi="Calibri" w:hint="eastAsia"/>
          <w:color w:val="333333"/>
          <w:sz w:val="18"/>
          <w:szCs w:val="18"/>
        </w:rPr>
        <w:t>份额。</w:t>
      </w:r>
    </w:p>
    <w:p w:rsidR="00B54378" w:rsidRDefault="00B54378" w:rsidP="009F6E54">
      <w:pPr>
        <w:shd w:val="clear" w:color="auto" w:fill="FFFFFF"/>
        <w:rPr>
          <w:rFonts w:ascii="Calibri" w:hAnsi="Calibri" w:hint="eastAsia"/>
          <w:b/>
          <w:color w:val="333333"/>
          <w:sz w:val="18"/>
          <w:szCs w:val="18"/>
        </w:rPr>
      </w:pPr>
    </w:p>
    <w:p w:rsidR="009F6E54" w:rsidRPr="009F6E54" w:rsidRDefault="009F6E54" w:rsidP="009F6E54">
      <w:pPr>
        <w:shd w:val="clear" w:color="auto" w:fill="FFFFFF"/>
        <w:rPr>
          <w:rFonts w:ascii="Calibri" w:hAnsi="Calibri" w:hint="eastAsia"/>
          <w:b/>
          <w:color w:val="333333"/>
          <w:sz w:val="18"/>
          <w:szCs w:val="18"/>
        </w:rPr>
      </w:pPr>
      <w:r w:rsidRPr="009F6E54">
        <w:rPr>
          <w:rFonts w:ascii="Calibri" w:hAnsi="Calibri" w:hint="eastAsia"/>
          <w:b/>
          <w:color w:val="333333"/>
          <w:sz w:val="18"/>
          <w:szCs w:val="18"/>
        </w:rPr>
        <w:t>（</w:t>
      </w:r>
      <w:r w:rsidRPr="009F6E54">
        <w:rPr>
          <w:rFonts w:ascii="Calibri" w:hAnsi="Calibri" w:hint="eastAsia"/>
          <w:b/>
          <w:color w:val="333333"/>
          <w:sz w:val="18"/>
          <w:szCs w:val="18"/>
        </w:rPr>
        <w:t>Win Market Research</w:t>
      </w:r>
      <w:r w:rsidRPr="009F6E54">
        <w:rPr>
          <w:rFonts w:ascii="Calibri" w:hAnsi="Calibri" w:hint="eastAsia"/>
          <w:b/>
          <w:color w:val="333333"/>
          <w:sz w:val="18"/>
          <w:szCs w:val="18"/>
        </w:rPr>
        <w:t>）辰宇信息</w:t>
      </w:r>
    </w:p>
    <w:p w:rsidR="000B429F" w:rsidRDefault="005141CD" w:rsidP="009F6E54">
      <w:pPr>
        <w:shd w:val="clear" w:color="auto" w:fill="FFFFFF"/>
      </w:pPr>
      <w:r>
        <w:t>着重分析</w:t>
      </w:r>
      <w:r w:rsidR="00812A3A">
        <w:rPr>
          <w:rFonts w:hint="eastAsia"/>
        </w:rPr>
        <w:t>分布式天线系统（</w:t>
      </w:r>
      <w:r w:rsidR="00812A3A">
        <w:rPr>
          <w:rFonts w:hint="eastAsia"/>
        </w:rPr>
        <w:t>DAS)</w:t>
      </w:r>
      <w:r>
        <w:t>行业竞争格局，包括全球市场主要厂商竞争格局和中国本土市场主要厂商竞争格局，重点分析全球主要厂商</w:t>
      </w:r>
      <w:r w:rsidR="00812A3A">
        <w:rPr>
          <w:rFonts w:hint="eastAsia"/>
        </w:rPr>
        <w:t>分布式天线系统（</w:t>
      </w:r>
      <w:r w:rsidR="00812A3A">
        <w:rPr>
          <w:rFonts w:hint="eastAsia"/>
        </w:rPr>
        <w:t>DAS)</w:t>
      </w:r>
      <w:r>
        <w:t>产能、销量、收入、价格和市场份额，全球</w:t>
      </w:r>
      <w:r w:rsidR="00812A3A">
        <w:rPr>
          <w:rFonts w:hint="eastAsia"/>
        </w:rPr>
        <w:t>分布式天线系统（</w:t>
      </w:r>
      <w:r w:rsidR="00812A3A">
        <w:rPr>
          <w:rFonts w:hint="eastAsia"/>
        </w:rPr>
        <w:t>DAS)</w:t>
      </w:r>
      <w:r>
        <w:t>产地分布情况、中国</w:t>
      </w:r>
      <w:r w:rsidR="00812A3A">
        <w:rPr>
          <w:rFonts w:hint="eastAsia"/>
        </w:rPr>
        <w:t>分布式天线系统（</w:t>
      </w:r>
      <w:r w:rsidR="00812A3A">
        <w:rPr>
          <w:rFonts w:hint="eastAsia"/>
        </w:rPr>
        <w:t>DAS)</w:t>
      </w:r>
      <w:r>
        <w:t>进出口情况以及行业并购情况等。</w:t>
      </w:r>
      <w:r>
        <w:rPr>
          <w:rFonts w:hint="eastAsia"/>
        </w:rPr>
        <w:t>针对</w:t>
      </w:r>
      <w:r w:rsidR="00812A3A">
        <w:rPr>
          <w:rFonts w:hint="eastAsia"/>
        </w:rPr>
        <w:t>分布式天线系统（</w:t>
      </w:r>
      <w:r w:rsidR="00812A3A">
        <w:rPr>
          <w:rFonts w:hint="eastAsia"/>
        </w:rPr>
        <w:t>DAS)</w:t>
      </w:r>
      <w:r>
        <w:rPr>
          <w:rFonts w:hint="eastAsia"/>
        </w:rPr>
        <w:t>行业产品分类、应用、行业政策、产业链、生产模式、销售模式、行业发展有利因素、不利因素和进入壁垒也做了详细分析。</w:t>
      </w:r>
      <w:r w:rsidR="008D6564" w:rsidRPr="008D6564">
        <w:rPr>
          <w:rFonts w:hint="eastAsia"/>
        </w:rPr>
        <w:t>如果您有兴趣了解详情，薇</w:t>
      </w:r>
      <w:r w:rsidR="008D6564">
        <w:rPr>
          <w:rFonts w:hint="eastAsia"/>
        </w:rPr>
        <w:t xml:space="preserve"> </w:t>
      </w:r>
      <w:r w:rsidR="008D6564" w:rsidRPr="008D6564">
        <w:rPr>
          <w:rFonts w:hint="eastAsia"/>
        </w:rPr>
        <w:t xml:space="preserve">joie  </w:t>
      </w:r>
      <w:r w:rsidR="008D6564" w:rsidRPr="008D6564">
        <w:rPr>
          <w:rFonts w:hint="eastAsia"/>
        </w:rPr>
        <w:t>：</w:t>
      </w:r>
      <w:r w:rsidR="008D6564" w:rsidRPr="008D6564">
        <w:rPr>
          <w:rFonts w:hint="eastAsia"/>
        </w:rPr>
        <w:t xml:space="preserve">chenyu-joie   </w:t>
      </w:r>
      <w:r w:rsidR="008D6564" w:rsidRPr="008D6564">
        <w:rPr>
          <w:rFonts w:hint="eastAsia"/>
        </w:rPr>
        <w:t>同时了解更多前沿报告及报价。</w:t>
      </w:r>
    </w:p>
    <w:p w:rsidR="000B429F" w:rsidRDefault="005141CD">
      <w:pPr>
        <w:pStyle w:val="a5"/>
        <w:widowControl/>
        <w:spacing w:before="240" w:beforeAutospacing="0" w:after="240" w:afterAutospacing="0" w:line="420" w:lineRule="atLeast"/>
        <w:jc w:val="both"/>
        <w:rPr>
          <w:b/>
          <w:szCs w:val="24"/>
        </w:rPr>
      </w:pPr>
      <w:r>
        <w:rPr>
          <w:rFonts w:hint="eastAsia"/>
          <w:b/>
          <w:szCs w:val="24"/>
        </w:rPr>
        <w:t>全球及中国主要厂商包括：</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CommScope</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JMA Wireless</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Solid, Inc.</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Corning</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lastRenderedPageBreak/>
        <w:t xml:space="preserve">    Advanced RF Technologies</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Cobham Wireless</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Comba Telecom</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Zinwave</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Westell</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Dali Wireless</w:t>
      </w:r>
    </w:p>
    <w:p w:rsidR="00812A3A" w:rsidRPr="00812A3A" w:rsidRDefault="00812A3A" w:rsidP="00812A3A">
      <w:pPr>
        <w:pStyle w:val="a5"/>
        <w:spacing w:before="240" w:after="240" w:line="420" w:lineRule="atLeast"/>
        <w:jc w:val="both"/>
        <w:rPr>
          <w:rFonts w:ascii="Helvetica" w:eastAsia="Helvetica" w:hAnsi="Helvetica" w:cs="Helvetica"/>
          <w:b/>
          <w:color w:val="333333"/>
          <w:sz w:val="19"/>
          <w:szCs w:val="19"/>
        </w:rPr>
      </w:pPr>
      <w:r w:rsidRPr="00812A3A">
        <w:rPr>
          <w:rFonts w:ascii="Helvetica" w:eastAsia="Helvetica" w:hAnsi="Helvetica" w:cs="Helvetica"/>
          <w:b/>
          <w:color w:val="333333"/>
          <w:sz w:val="19"/>
          <w:szCs w:val="19"/>
        </w:rPr>
        <w:t>按照不同产品类型，包括如下几个类别：</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主动DAS</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被动DAS</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混合DAS</w:t>
      </w:r>
    </w:p>
    <w:p w:rsidR="00812A3A" w:rsidRPr="00812A3A" w:rsidRDefault="00812A3A" w:rsidP="00812A3A">
      <w:pPr>
        <w:pStyle w:val="a5"/>
        <w:spacing w:before="240" w:after="240" w:line="420" w:lineRule="atLeast"/>
        <w:jc w:val="both"/>
        <w:rPr>
          <w:rFonts w:ascii="Helvetica" w:eastAsia="Helvetica" w:hAnsi="Helvetica" w:cs="Helvetica"/>
          <w:b/>
          <w:color w:val="333333"/>
          <w:sz w:val="19"/>
          <w:szCs w:val="19"/>
        </w:rPr>
      </w:pPr>
      <w:r w:rsidRPr="00812A3A">
        <w:rPr>
          <w:rFonts w:ascii="Helvetica" w:eastAsia="Helvetica" w:hAnsi="Helvetica" w:cs="Helvetica"/>
          <w:b/>
          <w:color w:val="333333"/>
          <w:sz w:val="19"/>
          <w:szCs w:val="19"/>
        </w:rPr>
        <w:t>按照不同应用，主要包括如下几个方面：</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办公大楼</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购物广场</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机场和交通</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医院和诊所</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院校</w:t>
      </w:r>
    </w:p>
    <w:p w:rsidR="00812A3A" w:rsidRPr="00812A3A" w:rsidRDefault="00812A3A" w:rsidP="00812A3A">
      <w:pPr>
        <w:pStyle w:val="a5"/>
        <w:spacing w:before="240" w:after="240" w:line="420" w:lineRule="atLeast"/>
        <w:jc w:val="both"/>
        <w:rPr>
          <w:rFonts w:ascii="Helvetica" w:eastAsia="Helvetica" w:hAnsi="Helvetica" w:cs="Helvetica"/>
          <w:color w:val="333333"/>
          <w:sz w:val="19"/>
          <w:szCs w:val="19"/>
        </w:rPr>
      </w:pPr>
      <w:r w:rsidRPr="00812A3A">
        <w:rPr>
          <w:rFonts w:ascii="Helvetica" w:eastAsia="Helvetica" w:hAnsi="Helvetica" w:cs="Helvetica"/>
          <w:color w:val="333333"/>
          <w:sz w:val="19"/>
          <w:szCs w:val="19"/>
        </w:rPr>
        <w:t xml:space="preserve">    其他</w:t>
      </w:r>
    </w:p>
    <w:p w:rsidR="000B429F" w:rsidRDefault="005141CD" w:rsidP="00D01E35">
      <w:pPr>
        <w:pStyle w:val="a5"/>
        <w:widowControl/>
        <w:spacing w:before="240" w:beforeAutospacing="0" w:after="240" w:afterAutospacing="0" w:line="420" w:lineRule="atLeast"/>
        <w:jc w:val="both"/>
        <w:rPr>
          <w:b/>
          <w:szCs w:val="24"/>
        </w:rPr>
      </w:pPr>
      <w:r>
        <w:rPr>
          <w:b/>
          <w:szCs w:val="24"/>
        </w:rPr>
        <w:t>报告包含的主要地区和国家：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报告正文共</w:t>
      </w:r>
      <w:r>
        <w:rPr>
          <w:rFonts w:hint="eastAsia"/>
          <w:b/>
          <w:szCs w:val="24"/>
        </w:rPr>
        <w:t>11</w:t>
      </w:r>
      <w:r>
        <w:rPr>
          <w:rFonts w:hint="eastAsia"/>
          <w:b/>
          <w:szCs w:val="24"/>
        </w:rPr>
        <w:t>章，各章节主要内容如下：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第1章：报告统计范围、产品细分、下游应用领域，以及行业发展总体概况、有利和不利因素、进入壁垒等；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第2章：全球市场供需情况、中国地区供需情况，包括主要地区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产量、销量、收入、价格及市场份额等；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第3章：全球主要地区和国家，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销量和销售收入，</w:t>
      </w:r>
      <w:r w:rsidR="00743420">
        <w:rPr>
          <w:rFonts w:ascii="Helvetica" w:eastAsia="Helvetica" w:hAnsi="Helvetica" w:cs="Helvetica"/>
          <w:color w:val="333333"/>
          <w:sz w:val="19"/>
          <w:szCs w:val="19"/>
        </w:rPr>
        <w:t>2019-2023</w:t>
      </w:r>
      <w:r w:rsidR="00743420">
        <w:rPr>
          <w:rFonts w:ascii="宋体" w:eastAsia="宋体" w:hAnsi="宋体" w:cs="宋体" w:hint="eastAsia"/>
          <w:color w:val="333333"/>
          <w:sz w:val="19"/>
          <w:szCs w:val="19"/>
        </w:rPr>
        <w:t>，及预测</w:t>
      </w:r>
      <w:r w:rsidR="00743420">
        <w:rPr>
          <w:rFonts w:ascii="Helvetica" w:eastAsia="Helvetica" w:hAnsi="Helvetica" w:cs="Helvetica"/>
          <w:color w:val="333333"/>
          <w:sz w:val="19"/>
          <w:szCs w:val="19"/>
        </w:rPr>
        <w:t>2024</w:t>
      </w:r>
      <w:r w:rsidR="00743420">
        <w:rPr>
          <w:rFonts w:ascii="宋体" w:eastAsia="宋体" w:hAnsi="宋体" w:cs="宋体" w:hint="eastAsia"/>
          <w:color w:val="333333"/>
          <w:sz w:val="19"/>
          <w:szCs w:val="19"/>
        </w:rPr>
        <w:t>到</w:t>
      </w:r>
      <w:r w:rsidR="00743420">
        <w:rPr>
          <w:rFonts w:ascii="Helvetica" w:eastAsia="Helvetica" w:hAnsi="Helvetica" w:cs="Helvetica"/>
          <w:color w:val="333333"/>
          <w:sz w:val="19"/>
          <w:szCs w:val="19"/>
        </w:rPr>
        <w:t>2030</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第4章：行业竞争格局分析，包括全球市场企业排名及市场份额、中国市场企业排名和份额、主要厂商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销量、收入、价格和市场份额等；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第5章：全球市场不同类型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第6章：全球市场不同应用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第7章：行业发展环境分析，包括政策、增长驱动因素、技术趋势、营销等；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第8章：行业供应链分析，包括产业链、主要原料供应情况、下游应用情况、行业采购模式、生产模式、销售模式及销售渠道等；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第9章：全球市场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主要厂商基本情况介绍，包括公司简介、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产品规格型号、销量、价格、收入及公司最新动态等；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第10章：中国市场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进出口情况分析；</w:t>
      </w:r>
    </w:p>
    <w:p w:rsidR="000B429F" w:rsidRDefault="005141CD">
      <w:pPr>
        <w:pStyle w:val="a5"/>
        <w:widowControl/>
        <w:spacing w:before="240" w:beforeAutospacing="0" w:after="240" w:afterAutospacing="0" w:line="420" w:lineRule="atLeast"/>
        <w:jc w:val="both"/>
        <w:rPr>
          <w:rFonts w:ascii="Helvetica" w:eastAsia="宋体" w:hAnsi="Helvetica" w:cs="Helvetica"/>
          <w:color w:val="333333"/>
          <w:sz w:val="19"/>
          <w:szCs w:val="19"/>
        </w:rPr>
      </w:pPr>
      <w:r>
        <w:rPr>
          <w:rFonts w:ascii="Helvetica" w:eastAsia="Helvetica" w:hAnsi="Helvetica" w:cs="Helvetica"/>
          <w:color w:val="333333"/>
          <w:sz w:val="19"/>
          <w:szCs w:val="19"/>
        </w:rPr>
        <w:t>第11章：中国市场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主要生产和消费地区分布</w:t>
      </w:r>
      <w:r>
        <w:rPr>
          <w:rFonts w:ascii="Helvetica" w:eastAsia="宋体" w:hAnsi="Helvetica" w:cs="Helvetica" w:hint="eastAsia"/>
          <w:color w:val="333333"/>
          <w:sz w:val="19"/>
          <w:szCs w:val="19"/>
        </w:rPr>
        <w:t>。</w:t>
      </w:r>
    </w:p>
    <w:p w:rsidR="00B15258" w:rsidRPr="00C725DF" w:rsidRDefault="00B15258" w:rsidP="00B15258">
      <w:pPr>
        <w:rPr>
          <w:b/>
        </w:rPr>
      </w:pPr>
      <w:r w:rsidRPr="00C725DF">
        <w:rPr>
          <w:rFonts w:hint="eastAsia"/>
          <w:b/>
        </w:rPr>
        <w:t>内容选自《辰宇信息咨询</w:t>
      </w:r>
      <w:r w:rsidRPr="00C725DF">
        <w:rPr>
          <w:rFonts w:hint="eastAsia"/>
          <w:b/>
        </w:rPr>
        <w:t xml:space="preserve"> /</w:t>
      </w:r>
      <w:r w:rsidRPr="00C725DF">
        <w:rPr>
          <w:rFonts w:hint="eastAsia"/>
          <w:b/>
        </w:rPr>
        <w:t>全球及中国</w:t>
      </w:r>
      <w:r w:rsidR="00812A3A">
        <w:rPr>
          <w:rFonts w:hint="eastAsia"/>
          <w:b/>
          <w:bCs/>
        </w:rPr>
        <w:t>分布式天线系统（</w:t>
      </w:r>
      <w:r w:rsidR="00812A3A">
        <w:rPr>
          <w:rFonts w:hint="eastAsia"/>
          <w:b/>
          <w:bCs/>
        </w:rPr>
        <w:t>DAS)</w:t>
      </w:r>
      <w:r w:rsidRPr="00C725DF">
        <w:rPr>
          <w:rFonts w:hint="eastAsia"/>
          <w:b/>
        </w:rPr>
        <w:t>行业研究及十</w:t>
      </w:r>
      <w:r w:rsidR="004857F7">
        <w:rPr>
          <w:rFonts w:hint="eastAsia"/>
          <w:b/>
        </w:rPr>
        <w:t>五</w:t>
      </w:r>
      <w:r w:rsidRPr="00C725DF">
        <w:rPr>
          <w:rFonts w:hint="eastAsia"/>
          <w:b/>
        </w:rPr>
        <w:t>五规划分析报告》</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0B429F" w:rsidRDefault="005141CD">
      <w:pPr>
        <w:pStyle w:val="a5"/>
        <w:widowControl/>
        <w:spacing w:before="240" w:beforeAutospacing="0" w:after="240" w:afterAutospacing="0" w:line="420" w:lineRule="atLeast"/>
        <w:jc w:val="both"/>
        <w:rPr>
          <w:b/>
          <w:szCs w:val="24"/>
        </w:rPr>
      </w:pPr>
      <w:r>
        <w:rPr>
          <w:rFonts w:hint="eastAsia"/>
          <w:b/>
          <w:szCs w:val="24"/>
        </w:rPr>
        <w:t xml:space="preserve">1 </w:t>
      </w:r>
      <w:r w:rsidR="00812A3A">
        <w:rPr>
          <w:rFonts w:hint="eastAsia"/>
          <w:b/>
          <w:szCs w:val="24"/>
        </w:rPr>
        <w:t>分布式天线系统（</w:t>
      </w:r>
      <w:r w:rsidR="00812A3A">
        <w:rPr>
          <w:rFonts w:hint="eastAsia"/>
          <w:b/>
          <w:szCs w:val="24"/>
        </w:rPr>
        <w:t>DAS)</w:t>
      </w:r>
      <w:r>
        <w:rPr>
          <w:rFonts w:hint="eastAsia"/>
          <w:b/>
          <w:szCs w:val="24"/>
        </w:rPr>
        <w:t>市场概述</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1.1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行业概述及统计范围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 按照不同类型，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主要可以分为如下几个类别</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1.2.1 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 从不同</w:t>
      </w:r>
      <w:r>
        <w:rPr>
          <w:rFonts w:ascii="Helvetica" w:eastAsia="宋体" w:hAnsi="Helvetica" w:cs="Helvetica" w:hint="eastAsia"/>
          <w:color w:val="333333"/>
          <w:sz w:val="19"/>
          <w:szCs w:val="19"/>
        </w:rPr>
        <w:t>尺寸或应用</w:t>
      </w:r>
      <w:r>
        <w:rPr>
          <w:rFonts w:ascii="Helvetica" w:eastAsia="Helvetica" w:hAnsi="Helvetica" w:cs="Helvetica"/>
          <w:color w:val="333333"/>
          <w:sz w:val="19"/>
          <w:szCs w:val="19"/>
        </w:rPr>
        <w:t>，</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主要包括如下几个方面</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1.3.1 不同</w:t>
      </w:r>
      <w:r>
        <w:rPr>
          <w:rFonts w:ascii="Helvetica" w:eastAsia="宋体" w:hAnsi="Helvetica" w:cs="Helvetica" w:hint="eastAsia"/>
          <w:color w:val="333333"/>
          <w:sz w:val="19"/>
          <w:szCs w:val="19"/>
        </w:rPr>
        <w:t>尺寸或应用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 行业发展现状分析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1.4.1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行业发展总体概况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1.4.2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行业发展主要特点</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1.4.3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行业发展影响因素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1.4.4 进入行业壁垒</w:t>
      </w:r>
    </w:p>
    <w:p w:rsidR="000B429F" w:rsidRDefault="005141CD">
      <w:pPr>
        <w:pStyle w:val="a5"/>
        <w:widowControl/>
        <w:spacing w:before="240" w:beforeAutospacing="0" w:after="240" w:afterAutospacing="0" w:line="420" w:lineRule="atLeast"/>
        <w:jc w:val="both"/>
        <w:rPr>
          <w:b/>
          <w:szCs w:val="24"/>
        </w:rPr>
      </w:pPr>
      <w:r>
        <w:rPr>
          <w:b/>
          <w:szCs w:val="24"/>
        </w:rPr>
        <w:t xml:space="preserve">2 </w:t>
      </w:r>
      <w:r>
        <w:rPr>
          <w:b/>
          <w:szCs w:val="24"/>
        </w:rPr>
        <w:t>行业发展现状及</w:t>
      </w:r>
      <w:r>
        <w:rPr>
          <w:b/>
          <w:szCs w:val="24"/>
        </w:rPr>
        <w:t>“</w:t>
      </w:r>
      <w:r>
        <w:rPr>
          <w:b/>
          <w:szCs w:val="24"/>
        </w:rPr>
        <w:t>十四五</w:t>
      </w:r>
      <w:r>
        <w:rPr>
          <w:b/>
          <w:szCs w:val="24"/>
        </w:rPr>
        <w:t>”</w:t>
      </w:r>
      <w:r>
        <w:rPr>
          <w:b/>
          <w:szCs w:val="24"/>
        </w:rPr>
        <w:t>前景预测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 全球</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2.1.1 全球</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2.1.2 全球</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产量、需求量及发展趋势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2.1.3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2.2.1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2.2.2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产量、市场需求量及发展趋势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2.2.3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产能和产量占全球的比重</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 全球</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2.3.1 全球市场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2.3.2 全球市场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2.3.3 全球市场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价格趋势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2.4.1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2.4.2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2.4.3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销量和收入占全球的比重</w:t>
      </w:r>
    </w:p>
    <w:p w:rsidR="000B429F" w:rsidRDefault="005141CD">
      <w:pPr>
        <w:pStyle w:val="a5"/>
        <w:widowControl/>
        <w:spacing w:before="240" w:beforeAutospacing="0" w:after="240" w:afterAutospacing="0" w:line="420" w:lineRule="atLeast"/>
        <w:jc w:val="both"/>
        <w:rPr>
          <w:b/>
          <w:szCs w:val="24"/>
        </w:rPr>
      </w:pPr>
      <w:r>
        <w:rPr>
          <w:b/>
          <w:szCs w:val="24"/>
        </w:rPr>
        <w:t xml:space="preserve">3 </w:t>
      </w:r>
      <w:r>
        <w:rPr>
          <w:b/>
          <w:szCs w:val="24"/>
        </w:rPr>
        <w:t>全球</w:t>
      </w:r>
      <w:r w:rsidR="00812A3A">
        <w:rPr>
          <w:rFonts w:hint="eastAsia"/>
          <w:b/>
          <w:szCs w:val="24"/>
        </w:rPr>
        <w:t>分布式天线系统（</w:t>
      </w:r>
      <w:r w:rsidR="00812A3A">
        <w:rPr>
          <w:rFonts w:hint="eastAsia"/>
          <w:b/>
          <w:szCs w:val="24"/>
        </w:rPr>
        <w:t>DAS)</w:t>
      </w:r>
      <w:r>
        <w:rPr>
          <w:b/>
          <w:szCs w:val="24"/>
        </w:rPr>
        <w:t>主要地区分析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市场规模分析：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3.1.1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销售收入及市场份额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3.1.2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销售收入预测（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3.2.1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3.2.2 全球主要地区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销量及市场份额预测（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 北美（美国和加拿大）</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3.3.1 北美（美国和加拿大）</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3.3.2 北美（美国和加拿大）</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 欧洲（德国、英国、法国和意大利等国家）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3.4.1 欧洲（德国、英国、法国和意大利等国家）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3.4.2 欧洲（德国、英国、法国和意大利等国家）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 亚太地区（中国、日本、韩国、中国台湾、印度和东南亚等）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3.5.1 亚太（中国、日本、韩国、中国台湾、印度和东南亚等）</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3.5.2 亚太（中国、日本、韩国、中国台湾、印度和东南亚等）</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 拉美地区（墨西哥、巴西等国家）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3.6.1 拉美地区（墨西哥、巴西等国家）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3.6.2 拉美地区（墨西哥、巴西等国家）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 中东及非洲</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3.7.1 中东及非洲（土耳其、沙特等国家）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3.7.2 中东及非洲（土耳其、沙特等国家）</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4 </w:t>
      </w:r>
      <w:r>
        <w:rPr>
          <w:b/>
          <w:szCs w:val="24"/>
        </w:rPr>
        <w:t>行业竞争格局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 全球市场竞争格局分析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4.1.1 全球市场主要厂商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产能市场份额</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4.1.2 全球市场主要厂商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4.1.3 全球市场主要厂商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4.1.4 全球市场主要厂商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4.1.5 2021年全球主要生产商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 中国市场竞争格局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4.2.1 中国市场主要厂商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4.2.2 中国市场主要厂商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4.2.3 中国市场主要厂商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4.2.4 2021年中国主要生产商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4.3 全球主要厂商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产地分布及商业化日期</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4.4 全球主要厂商</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产品类型列表</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行业集中度、竞争程度分析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4.5.1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行业集中度分析：全球头部厂商份额（Top 5）</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4.5.2 全球</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第一梯队、第二梯队和第三梯队生产商（品牌）及市场份额</w:t>
      </w:r>
    </w:p>
    <w:p w:rsidR="000B429F" w:rsidRDefault="005141CD">
      <w:pPr>
        <w:pStyle w:val="a5"/>
        <w:widowControl/>
        <w:spacing w:before="240" w:beforeAutospacing="0" w:after="240" w:afterAutospacing="0" w:line="420" w:lineRule="atLeast"/>
        <w:jc w:val="both"/>
        <w:rPr>
          <w:b/>
          <w:szCs w:val="24"/>
        </w:rPr>
      </w:pPr>
      <w:r>
        <w:rPr>
          <w:b/>
          <w:szCs w:val="24"/>
        </w:rPr>
        <w:t xml:space="preserve">5 </w:t>
      </w:r>
      <w:r>
        <w:rPr>
          <w:b/>
          <w:szCs w:val="24"/>
        </w:rPr>
        <w:t>不同类型</w:t>
      </w:r>
      <w:r w:rsidR="00812A3A">
        <w:rPr>
          <w:rFonts w:hint="eastAsia"/>
          <w:b/>
          <w:szCs w:val="24"/>
        </w:rPr>
        <w:t>分布式天线系统（</w:t>
      </w:r>
      <w:r w:rsidR="00812A3A">
        <w:rPr>
          <w:rFonts w:hint="eastAsia"/>
          <w:b/>
          <w:szCs w:val="24"/>
        </w:rPr>
        <w:t>DAS)</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5.1.1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5.1.2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5.2.1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5.2.2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5.3 全球市场不同类型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 中国市场不同类型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5.4.1 中国市场不同类型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5.4.2 中国市场不同类型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 中国市场不同类型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5.5.1 中国市场不同类型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5.5.2 中国市场不同类型</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6 </w:t>
      </w:r>
      <w:r>
        <w:rPr>
          <w:b/>
          <w:szCs w:val="24"/>
        </w:rPr>
        <w:t>不同</w:t>
      </w:r>
      <w:r>
        <w:rPr>
          <w:rFonts w:hint="eastAsia"/>
          <w:b/>
          <w:szCs w:val="24"/>
        </w:rPr>
        <w:t>应用</w:t>
      </w:r>
      <w:r w:rsidR="00812A3A">
        <w:rPr>
          <w:rFonts w:hint="eastAsia"/>
          <w:b/>
          <w:szCs w:val="24"/>
        </w:rPr>
        <w:t>分布式天线系统（</w:t>
      </w:r>
      <w:r w:rsidR="00812A3A">
        <w:rPr>
          <w:rFonts w:hint="eastAsia"/>
          <w:b/>
          <w:szCs w:val="24"/>
        </w:rPr>
        <w:t>DAS)</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6.1.1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6.1.2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6.2.1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6.2.2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6.3 全球市场不同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 中国市场不同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6.4.1 中国市场不同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6.4.2 中国市场不同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 中国市场不同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6.5.1 中国市场不同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6.5.2 中国市场不同</w:t>
      </w:r>
      <w:r>
        <w:rPr>
          <w:rFonts w:ascii="Helvetica" w:eastAsia="宋体" w:hAnsi="Helvetica" w:cs="Helvetica" w:hint="eastAsia"/>
          <w:color w:val="333333"/>
          <w:sz w:val="19"/>
          <w:szCs w:val="19"/>
        </w:rPr>
        <w:t>应用</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7 </w:t>
      </w:r>
      <w:r>
        <w:rPr>
          <w:b/>
          <w:szCs w:val="24"/>
        </w:rPr>
        <w:t>行业发展环境分析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7.1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行业发展趋势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7.2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行业主要驱动因素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7.3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中国企业SWOT分析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行业政策环境分析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7.4.1 行业主管部门及监管体制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7.4.2 行业相关政策动向</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7.4.3 行业相关规划</w:t>
      </w:r>
    </w:p>
    <w:p w:rsidR="000B429F" w:rsidRDefault="005141CD">
      <w:pPr>
        <w:pStyle w:val="a5"/>
        <w:widowControl/>
        <w:spacing w:before="240" w:beforeAutospacing="0" w:after="240" w:afterAutospacing="0" w:line="420" w:lineRule="atLeast"/>
        <w:jc w:val="both"/>
        <w:rPr>
          <w:b/>
          <w:szCs w:val="24"/>
        </w:rPr>
      </w:pPr>
      <w:r>
        <w:rPr>
          <w:b/>
          <w:szCs w:val="24"/>
        </w:rPr>
        <w:t xml:space="preserve">8 </w:t>
      </w:r>
      <w:r>
        <w:rPr>
          <w:b/>
          <w:szCs w:val="24"/>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8.1 全球产业链趋势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行业产业链简介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8.2.1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8.2.2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主要原料及供应情况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8.2.3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行业主要下游客户</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8.3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行业采购模式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8.4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行业生产模式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8.5 </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行业销售模式及销售渠道</w:t>
      </w:r>
    </w:p>
    <w:p w:rsidR="000B429F" w:rsidRDefault="005141CD">
      <w:pPr>
        <w:pStyle w:val="a5"/>
        <w:widowControl/>
        <w:spacing w:before="240" w:beforeAutospacing="0" w:after="240" w:afterAutospacing="0" w:line="420" w:lineRule="atLeast"/>
        <w:jc w:val="both"/>
        <w:rPr>
          <w:b/>
          <w:szCs w:val="24"/>
        </w:rPr>
      </w:pPr>
      <w:r>
        <w:rPr>
          <w:b/>
          <w:szCs w:val="24"/>
        </w:rPr>
        <w:t xml:space="preserve">9 </w:t>
      </w:r>
      <w:r>
        <w:rPr>
          <w:b/>
          <w:szCs w:val="24"/>
        </w:rPr>
        <w:t>全球市场主要</w:t>
      </w:r>
      <w:r w:rsidR="00812A3A">
        <w:rPr>
          <w:rFonts w:hint="eastAsia"/>
          <w:b/>
          <w:szCs w:val="24"/>
        </w:rPr>
        <w:t>分布式天线系统（</w:t>
      </w:r>
      <w:r w:rsidR="00812A3A">
        <w:rPr>
          <w:rFonts w:hint="eastAsia"/>
          <w:b/>
          <w:szCs w:val="24"/>
        </w:rPr>
        <w:t>DAS)</w:t>
      </w:r>
      <w:r>
        <w:rPr>
          <w:b/>
          <w:szCs w:val="24"/>
        </w:rPr>
        <w:t>厂商简介</w:t>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Pr="00743420">
        <w:rPr>
          <w:rFonts w:ascii="Helvetica" w:hAnsi="Helvetica" w:cs="Helvetic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企业一公司信息、</w:t>
      </w:r>
      <w:r w:rsidR="00812A3A">
        <w:rPr>
          <w:rFonts w:ascii="Helvetica" w:hAnsi="Helvetica" w:cs="Helvetica" w:hint="eastAsia"/>
          <w:color w:val="333333"/>
          <w:sz w:val="19"/>
          <w:szCs w:val="19"/>
        </w:rPr>
        <w:t>分布式天线系统（</w:t>
      </w:r>
      <w:r w:rsidR="00812A3A">
        <w:rPr>
          <w:rFonts w:ascii="Helvetica" w:hAnsi="Helvetica" w:cs="Helvetica" w:hint="eastAsia"/>
          <w:color w:val="333333"/>
          <w:sz w:val="19"/>
          <w:szCs w:val="19"/>
        </w:rPr>
        <w:t>DAS)</w:t>
      </w:r>
      <w:r w:rsidRPr="00743420">
        <w:rPr>
          <w:rFonts w:ascii="Helvetica" w:hAnsi="Helvetica" w:cs="Helvetica" w:hint="eastAsia"/>
          <w:color w:val="333333"/>
          <w:sz w:val="19"/>
          <w:szCs w:val="19"/>
        </w:rPr>
        <w:t>生产基地、销售区域、竞争对手及市场地位</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812A3A">
        <w:rPr>
          <w:rFonts w:ascii="Helvetica" w:hAnsi="Helvetica" w:cs="Helvetica" w:hint="eastAsia"/>
          <w:color w:val="333333"/>
          <w:sz w:val="19"/>
          <w:szCs w:val="19"/>
        </w:rPr>
        <w:t>分布式天线系统（</w:t>
      </w:r>
      <w:r w:rsidR="00812A3A">
        <w:rPr>
          <w:rFonts w:ascii="Helvetica" w:hAnsi="Helvetica" w:cs="Helvetica" w:hint="eastAsia"/>
          <w:color w:val="333333"/>
          <w:sz w:val="19"/>
          <w:szCs w:val="19"/>
        </w:rPr>
        <w:t>DAS)</w:t>
      </w:r>
      <w:r w:rsidRPr="00743420">
        <w:rPr>
          <w:rFonts w:ascii="Helvetica" w:hAnsi="Helvetica" w:cs="Helvetica" w:hint="eastAsia"/>
          <w:color w:val="333333"/>
          <w:sz w:val="19"/>
          <w:szCs w:val="19"/>
        </w:rPr>
        <w:t>产品规格、参数及市场应用</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812A3A">
        <w:rPr>
          <w:rFonts w:ascii="Helvetica" w:hAnsi="Helvetica" w:cs="Helvetica" w:hint="eastAsia"/>
          <w:color w:val="333333"/>
          <w:sz w:val="19"/>
          <w:szCs w:val="19"/>
        </w:rPr>
        <w:t>分布式天线系统（</w:t>
      </w:r>
      <w:r w:rsidR="00812A3A">
        <w:rPr>
          <w:rFonts w:ascii="Helvetica" w:hAnsi="Helvetica" w:cs="Helvetica" w:hint="eastAsia"/>
          <w:color w:val="333333"/>
          <w:sz w:val="19"/>
          <w:szCs w:val="19"/>
        </w:rPr>
        <w:t>DAS)</w:t>
      </w:r>
      <w:r w:rsidRPr="00743420">
        <w:rPr>
          <w:rFonts w:ascii="Helvetica" w:hAnsi="Helvetica" w:cs="Helvetica" w:hint="eastAsia"/>
          <w:color w:val="333333"/>
          <w:sz w:val="19"/>
          <w:szCs w:val="19"/>
        </w:rPr>
        <w:t>销量、收入、价格及毛利率（</w:t>
      </w:r>
      <w:r w:rsidRPr="00743420">
        <w:rPr>
          <w:rFonts w:ascii="Helvetica" w:hAnsi="Helvetica" w:cs="Helvetica" w:hint="eastAsia"/>
          <w:color w:val="333333"/>
          <w:sz w:val="19"/>
          <w:szCs w:val="19"/>
        </w:rPr>
        <w:t>2019-2024</w:t>
      </w:r>
      <w:r w:rsidRPr="00743420">
        <w:rPr>
          <w:rFonts w:ascii="Helvetica" w:hAnsi="Helvetica" w:cs="Helvetica" w:hint="eastAsia"/>
          <w:color w:val="333333"/>
          <w:sz w:val="19"/>
          <w:szCs w:val="19"/>
        </w:rPr>
        <w:t>）</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企业一公司简介及主要业务</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企业一企业最新动态</w:t>
      </w:r>
      <w:r w:rsidRPr="00743420">
        <w:rPr>
          <w:rFonts w:ascii="Helvetica" w:hAnsi="Helvetica" w:cs="Helvetica" w:hint="eastAsia"/>
          <w:color w:val="333333"/>
          <w:sz w:val="19"/>
          <w:szCs w:val="19"/>
        </w:rPr>
        <w:tab/>
      </w:r>
    </w:p>
    <w:p w:rsidR="000B429F" w:rsidRDefault="005141CD">
      <w:pPr>
        <w:pStyle w:val="a5"/>
        <w:widowControl/>
        <w:spacing w:before="240" w:beforeAutospacing="0" w:after="240" w:afterAutospacing="0" w:line="420" w:lineRule="atLeast"/>
        <w:jc w:val="both"/>
        <w:rPr>
          <w:b/>
          <w:szCs w:val="24"/>
        </w:rPr>
      </w:pPr>
      <w:r>
        <w:rPr>
          <w:b/>
          <w:szCs w:val="24"/>
        </w:rPr>
        <w:t xml:space="preserve">10 </w:t>
      </w:r>
      <w:r>
        <w:rPr>
          <w:b/>
          <w:szCs w:val="24"/>
        </w:rPr>
        <w:t>中国市场</w:t>
      </w:r>
      <w:r w:rsidR="00812A3A">
        <w:rPr>
          <w:rFonts w:hint="eastAsia"/>
          <w:b/>
          <w:szCs w:val="24"/>
        </w:rPr>
        <w:t>分布式天线系统（</w:t>
      </w:r>
      <w:r w:rsidR="00812A3A">
        <w:rPr>
          <w:rFonts w:hint="eastAsia"/>
          <w:b/>
          <w:szCs w:val="24"/>
        </w:rPr>
        <w:t>DAS)</w:t>
      </w:r>
      <w:r>
        <w:rPr>
          <w:b/>
          <w:szCs w:val="24"/>
        </w:rPr>
        <w:t>产量、销量、进出口分析及未来趋势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10.1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产量、销量、进出口分析及未来趋势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10.2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进出口贸易趋势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10.3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主要进口来源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10.4 中国市场</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主要出口目的地</w:t>
      </w:r>
    </w:p>
    <w:p w:rsidR="000B429F" w:rsidRDefault="005141CD">
      <w:pPr>
        <w:pStyle w:val="a5"/>
        <w:widowControl/>
        <w:spacing w:before="240" w:beforeAutospacing="0" w:after="240" w:afterAutospacing="0" w:line="420" w:lineRule="atLeast"/>
        <w:jc w:val="both"/>
        <w:rPr>
          <w:b/>
          <w:szCs w:val="24"/>
        </w:rPr>
      </w:pPr>
      <w:r>
        <w:rPr>
          <w:b/>
          <w:szCs w:val="24"/>
        </w:rPr>
        <w:t xml:space="preserve">11 </w:t>
      </w:r>
      <w:r>
        <w:rPr>
          <w:b/>
          <w:szCs w:val="24"/>
        </w:rPr>
        <w:t>中国市场</w:t>
      </w:r>
      <w:r w:rsidR="00812A3A">
        <w:rPr>
          <w:rFonts w:hint="eastAsia"/>
          <w:b/>
          <w:szCs w:val="24"/>
        </w:rPr>
        <w:t>分布式天线系统（</w:t>
      </w:r>
      <w:r w:rsidR="00812A3A">
        <w:rPr>
          <w:rFonts w:hint="eastAsia"/>
          <w:b/>
          <w:szCs w:val="24"/>
        </w:rPr>
        <w:t>DAS)</w:t>
      </w:r>
      <w:r>
        <w:rPr>
          <w:b/>
          <w:szCs w:val="24"/>
        </w:rPr>
        <w:t>主要地区分布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11.1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生产地区分布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11.2 中国</w:t>
      </w:r>
      <w:r w:rsidR="00812A3A">
        <w:rPr>
          <w:rFonts w:ascii="Helvetica" w:eastAsia="宋体" w:hAnsi="Helvetica" w:cs="Helvetica" w:hint="eastAsia"/>
          <w:color w:val="333333"/>
          <w:sz w:val="19"/>
          <w:szCs w:val="19"/>
        </w:rPr>
        <w:t>分布式天线系统（</w:t>
      </w:r>
      <w:r w:rsidR="00812A3A">
        <w:rPr>
          <w:rFonts w:ascii="Helvetica" w:eastAsia="宋体" w:hAnsi="Helvetica" w:cs="Helvetica" w:hint="eastAsia"/>
          <w:color w:val="333333"/>
          <w:sz w:val="19"/>
          <w:szCs w:val="19"/>
        </w:rPr>
        <w:t>DAS)</w:t>
      </w:r>
      <w:r>
        <w:rPr>
          <w:rFonts w:ascii="Helvetica" w:eastAsia="Helvetica" w:hAnsi="Helvetica" w:cs="Helvetica"/>
          <w:color w:val="333333"/>
          <w:sz w:val="19"/>
          <w:szCs w:val="19"/>
        </w:rPr>
        <w:t>消费地区分布</w:t>
      </w:r>
    </w:p>
    <w:p w:rsidR="000B429F" w:rsidRDefault="005141CD">
      <w:pPr>
        <w:rPr>
          <w:b/>
        </w:rPr>
      </w:pPr>
      <w:r>
        <w:rPr>
          <w:rFonts w:hint="eastAsia"/>
          <w:b/>
        </w:rPr>
        <w:t>▲资料来源：更多资料请参考《全球及中国</w:t>
      </w:r>
      <w:r w:rsidR="00812A3A">
        <w:rPr>
          <w:rFonts w:hint="eastAsia"/>
          <w:b/>
          <w:bCs/>
        </w:rPr>
        <w:t>分布式天线系统（</w:t>
      </w:r>
      <w:r w:rsidR="00812A3A">
        <w:rPr>
          <w:rFonts w:hint="eastAsia"/>
          <w:b/>
          <w:bCs/>
        </w:rPr>
        <w:t>DAS)</w:t>
      </w:r>
      <w:r>
        <w:rPr>
          <w:rFonts w:hint="eastAsia"/>
          <w:b/>
        </w:rPr>
        <w:t>行业研究及十</w:t>
      </w:r>
      <w:r w:rsidR="004857F7">
        <w:rPr>
          <w:rFonts w:hint="eastAsia"/>
          <w:b/>
        </w:rPr>
        <w:t>五</w:t>
      </w:r>
      <w:r>
        <w:rPr>
          <w:rFonts w:hint="eastAsia"/>
          <w:b/>
        </w:rPr>
        <w:t>五规划分析报告》</w:t>
      </w:r>
    </w:p>
    <w:p w:rsidR="000B429F" w:rsidRDefault="009F6E54" w:rsidP="009F6E54">
      <w:r w:rsidRPr="009F6E54">
        <w:rPr>
          <w:rFonts w:hint="eastAsia"/>
        </w:rPr>
        <w:t>同时，</w:t>
      </w:r>
      <w:r w:rsidRPr="009F6E54">
        <w:rPr>
          <w:rFonts w:hint="eastAsia"/>
          <w:b/>
        </w:rPr>
        <w:t>辰宇信息咨询</w:t>
      </w:r>
      <w:r w:rsidRPr="009F6E54">
        <w:rPr>
          <w:rFonts w:hint="eastAsia"/>
        </w:rPr>
        <w:t>提供专业市场研究报告、定制研究、管理咨询、</w:t>
      </w:r>
      <w:r w:rsidRPr="009F6E54">
        <w:rPr>
          <w:rFonts w:hint="eastAsia"/>
        </w:rPr>
        <w:t>IPO</w:t>
      </w:r>
      <w:r w:rsidRPr="009F6E54">
        <w:rPr>
          <w:rFonts w:hint="eastAsia"/>
        </w:rPr>
        <w:t>咨询、产业链研究等，涵盖化工材料、机械设备、医疗设备及耗材、电子半导体、软件、包装、网络及通信、汽车交通、医疗护理、原料药品及保健品等</w:t>
      </w:r>
      <w:r w:rsidRPr="009F6E54">
        <w:rPr>
          <w:rFonts w:hint="eastAsia"/>
        </w:rPr>
        <w:t>30</w:t>
      </w:r>
      <w:r w:rsidRPr="009F6E54">
        <w:rPr>
          <w:rFonts w:hint="eastAsia"/>
        </w:rPr>
        <w:t>多个行业。可提供：制造业单项冠军申请和专精特新“小巨人”项目申请的市占率等服务。</w:t>
      </w:r>
    </w:p>
    <w:sectPr w:rsidR="000B429F" w:rsidSect="000B4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04F" w:rsidRDefault="00C6204F" w:rsidP="00316DFB">
      <w:r>
        <w:separator/>
      </w:r>
    </w:p>
  </w:endnote>
  <w:endnote w:type="continuationSeparator" w:id="0">
    <w:p w:rsidR="00C6204F" w:rsidRDefault="00C6204F" w:rsidP="00316D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icrosoft YaHei UI">
    <w:altName w:val="微软雅黑"/>
    <w:charset w:val="86"/>
    <w:family w:val="swiss"/>
    <w:pitch w:val="variable"/>
    <w:sig w:usb0="00000000" w:usb1="28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04F" w:rsidRDefault="00C6204F" w:rsidP="00316DFB">
      <w:r>
        <w:separator/>
      </w:r>
    </w:p>
  </w:footnote>
  <w:footnote w:type="continuationSeparator" w:id="0">
    <w:p w:rsidR="00C6204F" w:rsidRDefault="00C6204F" w:rsidP="00316D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savePreviewPicture/>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07E76"/>
    <w:rsid w:val="00013678"/>
    <w:rsid w:val="00016938"/>
    <w:rsid w:val="00036AFB"/>
    <w:rsid w:val="000714FC"/>
    <w:rsid w:val="00090EF7"/>
    <w:rsid w:val="000B429F"/>
    <w:rsid w:val="000B7EC1"/>
    <w:rsid w:val="000D0E8B"/>
    <w:rsid w:val="000E00F4"/>
    <w:rsid w:val="000F5347"/>
    <w:rsid w:val="001162CA"/>
    <w:rsid w:val="001441A4"/>
    <w:rsid w:val="00160D57"/>
    <w:rsid w:val="0016528F"/>
    <w:rsid w:val="00174AFE"/>
    <w:rsid w:val="00177BC6"/>
    <w:rsid w:val="001830D9"/>
    <w:rsid w:val="00191133"/>
    <w:rsid w:val="00194515"/>
    <w:rsid w:val="001A1682"/>
    <w:rsid w:val="001E3594"/>
    <w:rsid w:val="00200D93"/>
    <w:rsid w:val="0029457A"/>
    <w:rsid w:val="002C4FB4"/>
    <w:rsid w:val="002D1BF8"/>
    <w:rsid w:val="002D3366"/>
    <w:rsid w:val="002E60F0"/>
    <w:rsid w:val="002F2AAF"/>
    <w:rsid w:val="00316DFB"/>
    <w:rsid w:val="00362568"/>
    <w:rsid w:val="0037039B"/>
    <w:rsid w:val="00387ABE"/>
    <w:rsid w:val="003B17D8"/>
    <w:rsid w:val="003C713C"/>
    <w:rsid w:val="003D1808"/>
    <w:rsid w:val="003D4BE0"/>
    <w:rsid w:val="003E5578"/>
    <w:rsid w:val="003F1699"/>
    <w:rsid w:val="003F2E19"/>
    <w:rsid w:val="003F6501"/>
    <w:rsid w:val="004225AE"/>
    <w:rsid w:val="00430D2E"/>
    <w:rsid w:val="00445880"/>
    <w:rsid w:val="00480A5B"/>
    <w:rsid w:val="00483C79"/>
    <w:rsid w:val="004857F7"/>
    <w:rsid w:val="004A1559"/>
    <w:rsid w:val="004A331F"/>
    <w:rsid w:val="004B3FBE"/>
    <w:rsid w:val="004C323A"/>
    <w:rsid w:val="004C4E46"/>
    <w:rsid w:val="004E13CA"/>
    <w:rsid w:val="005063CC"/>
    <w:rsid w:val="0051395F"/>
    <w:rsid w:val="005141CD"/>
    <w:rsid w:val="0052551C"/>
    <w:rsid w:val="005271DB"/>
    <w:rsid w:val="00534C26"/>
    <w:rsid w:val="005355E8"/>
    <w:rsid w:val="00545B2D"/>
    <w:rsid w:val="00552B35"/>
    <w:rsid w:val="0056202C"/>
    <w:rsid w:val="00587118"/>
    <w:rsid w:val="005922F6"/>
    <w:rsid w:val="005B38CC"/>
    <w:rsid w:val="005C0C1E"/>
    <w:rsid w:val="006056B3"/>
    <w:rsid w:val="0061565F"/>
    <w:rsid w:val="0062774F"/>
    <w:rsid w:val="00630A86"/>
    <w:rsid w:val="00633577"/>
    <w:rsid w:val="00634D87"/>
    <w:rsid w:val="00651252"/>
    <w:rsid w:val="006B3636"/>
    <w:rsid w:val="006F02A9"/>
    <w:rsid w:val="007344C5"/>
    <w:rsid w:val="00740748"/>
    <w:rsid w:val="00743420"/>
    <w:rsid w:val="00744ADC"/>
    <w:rsid w:val="00786892"/>
    <w:rsid w:val="007A28F9"/>
    <w:rsid w:val="007C0E2C"/>
    <w:rsid w:val="007D56AB"/>
    <w:rsid w:val="008027E1"/>
    <w:rsid w:val="00812A3A"/>
    <w:rsid w:val="00812D7C"/>
    <w:rsid w:val="00837CF8"/>
    <w:rsid w:val="00840EBE"/>
    <w:rsid w:val="008544C7"/>
    <w:rsid w:val="008B1449"/>
    <w:rsid w:val="008C0F49"/>
    <w:rsid w:val="008D0545"/>
    <w:rsid w:val="008D317A"/>
    <w:rsid w:val="008D5FAC"/>
    <w:rsid w:val="008D6564"/>
    <w:rsid w:val="00900DF9"/>
    <w:rsid w:val="0091483E"/>
    <w:rsid w:val="00923974"/>
    <w:rsid w:val="00931034"/>
    <w:rsid w:val="00963D43"/>
    <w:rsid w:val="009E2232"/>
    <w:rsid w:val="009E78F8"/>
    <w:rsid w:val="009F136B"/>
    <w:rsid w:val="009F6E54"/>
    <w:rsid w:val="00A10920"/>
    <w:rsid w:val="00A11CE2"/>
    <w:rsid w:val="00A13F17"/>
    <w:rsid w:val="00A37B7E"/>
    <w:rsid w:val="00A478C6"/>
    <w:rsid w:val="00A5074D"/>
    <w:rsid w:val="00A95EBA"/>
    <w:rsid w:val="00AA0C9F"/>
    <w:rsid w:val="00AB2C53"/>
    <w:rsid w:val="00AD0261"/>
    <w:rsid w:val="00AD1F63"/>
    <w:rsid w:val="00AE0C5E"/>
    <w:rsid w:val="00AE6CB4"/>
    <w:rsid w:val="00B15258"/>
    <w:rsid w:val="00B4219C"/>
    <w:rsid w:val="00B455B6"/>
    <w:rsid w:val="00B54378"/>
    <w:rsid w:val="00B54BBD"/>
    <w:rsid w:val="00B65DB9"/>
    <w:rsid w:val="00C00D08"/>
    <w:rsid w:val="00C22187"/>
    <w:rsid w:val="00C6204F"/>
    <w:rsid w:val="00C72CCF"/>
    <w:rsid w:val="00C90B8B"/>
    <w:rsid w:val="00C9275B"/>
    <w:rsid w:val="00CC5F77"/>
    <w:rsid w:val="00CE23FD"/>
    <w:rsid w:val="00CF0C62"/>
    <w:rsid w:val="00CF6406"/>
    <w:rsid w:val="00D01E35"/>
    <w:rsid w:val="00D070DD"/>
    <w:rsid w:val="00D10A06"/>
    <w:rsid w:val="00D47BB5"/>
    <w:rsid w:val="00D64AF2"/>
    <w:rsid w:val="00DA4F05"/>
    <w:rsid w:val="00DD0D9D"/>
    <w:rsid w:val="00DD5376"/>
    <w:rsid w:val="00DD73E8"/>
    <w:rsid w:val="00DD77D9"/>
    <w:rsid w:val="00E208EA"/>
    <w:rsid w:val="00E47E30"/>
    <w:rsid w:val="00E775C0"/>
    <w:rsid w:val="00ED4A22"/>
    <w:rsid w:val="00EE1515"/>
    <w:rsid w:val="00F07FF4"/>
    <w:rsid w:val="00F31D3E"/>
    <w:rsid w:val="00F56791"/>
    <w:rsid w:val="00F631A3"/>
    <w:rsid w:val="00F64054"/>
    <w:rsid w:val="00F82B62"/>
    <w:rsid w:val="00F87090"/>
    <w:rsid w:val="00FF1B4D"/>
    <w:rsid w:val="00FF201B"/>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9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0B429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316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B429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429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0B429F"/>
    <w:pPr>
      <w:spacing w:beforeAutospacing="1" w:afterAutospacing="1"/>
      <w:jc w:val="left"/>
    </w:pPr>
    <w:rPr>
      <w:rFonts w:cs="Times New Roman"/>
      <w:kern w:val="0"/>
      <w:sz w:val="24"/>
    </w:rPr>
  </w:style>
  <w:style w:type="character" w:styleId="a6">
    <w:name w:val="Hyperlink"/>
    <w:basedOn w:val="a0"/>
    <w:uiPriority w:val="99"/>
    <w:unhideWhenUsed/>
    <w:qFormat/>
    <w:rsid w:val="000B429F"/>
    <w:rPr>
      <w:color w:val="0000FF" w:themeColor="hyperlink"/>
      <w:u w:val="single"/>
    </w:rPr>
  </w:style>
  <w:style w:type="character" w:customStyle="1" w:styleId="Char0">
    <w:name w:val="页眉 Char"/>
    <w:basedOn w:val="a0"/>
    <w:link w:val="a4"/>
    <w:uiPriority w:val="99"/>
    <w:semiHidden/>
    <w:qFormat/>
    <w:rsid w:val="000B429F"/>
    <w:rPr>
      <w:sz w:val="18"/>
      <w:szCs w:val="18"/>
    </w:rPr>
  </w:style>
  <w:style w:type="character" w:customStyle="1" w:styleId="Char">
    <w:name w:val="页脚 Char"/>
    <w:basedOn w:val="a0"/>
    <w:link w:val="a3"/>
    <w:uiPriority w:val="99"/>
    <w:semiHidden/>
    <w:qFormat/>
    <w:rsid w:val="000B429F"/>
    <w:rPr>
      <w:sz w:val="18"/>
      <w:szCs w:val="18"/>
    </w:rPr>
  </w:style>
  <w:style w:type="character" w:customStyle="1" w:styleId="2Char">
    <w:name w:val="标题 2 Char"/>
    <w:basedOn w:val="a0"/>
    <w:link w:val="2"/>
    <w:uiPriority w:val="9"/>
    <w:semiHidden/>
    <w:rsid w:val="00316DFB"/>
    <w:rPr>
      <w:rFonts w:asciiTheme="majorHAnsi" w:eastAsiaTheme="majorEastAsia" w:hAnsiTheme="majorHAnsi" w:cstheme="majorBidi"/>
      <w:b/>
      <w:bCs/>
      <w:kern w:val="2"/>
      <w:sz w:val="32"/>
      <w:szCs w:val="32"/>
    </w:rPr>
  </w:style>
  <w:style w:type="paragraph" w:styleId="HTML">
    <w:name w:val="HTML Preformatted"/>
    <w:basedOn w:val="a"/>
    <w:link w:val="HTMLChar"/>
    <w:uiPriority w:val="99"/>
    <w:semiHidden/>
    <w:unhideWhenUsed/>
    <w:rsid w:val="009F6E54"/>
    <w:rPr>
      <w:rFonts w:ascii="Courier New" w:hAnsi="Courier New" w:cs="Courier New"/>
      <w:sz w:val="20"/>
      <w:szCs w:val="20"/>
    </w:rPr>
  </w:style>
  <w:style w:type="character" w:customStyle="1" w:styleId="HTMLChar">
    <w:name w:val="HTML 预设格式 Char"/>
    <w:basedOn w:val="a0"/>
    <w:link w:val="HTML"/>
    <w:uiPriority w:val="99"/>
    <w:semiHidden/>
    <w:rsid w:val="009F6E54"/>
    <w:rPr>
      <w:rFonts w:ascii="Courier New" w:eastAsiaTheme="minorEastAsia" w:hAnsi="Courier New" w:cs="Courier New"/>
      <w:kern w:val="2"/>
    </w:rPr>
  </w:style>
</w:styles>
</file>

<file path=word/webSettings.xml><?xml version="1.0" encoding="utf-8"?>
<w:webSettings xmlns:r="http://schemas.openxmlformats.org/officeDocument/2006/relationships" xmlns:w="http://schemas.openxmlformats.org/wordprocessingml/2006/main">
  <w:divs>
    <w:div w:id="6255760">
      <w:bodyDiv w:val="1"/>
      <w:marLeft w:val="0"/>
      <w:marRight w:val="0"/>
      <w:marTop w:val="0"/>
      <w:marBottom w:val="0"/>
      <w:divBdr>
        <w:top w:val="none" w:sz="0" w:space="0" w:color="auto"/>
        <w:left w:val="none" w:sz="0" w:space="0" w:color="auto"/>
        <w:bottom w:val="none" w:sz="0" w:space="0" w:color="auto"/>
        <w:right w:val="none" w:sz="0" w:space="0" w:color="auto"/>
      </w:divBdr>
    </w:div>
    <w:div w:id="7098700">
      <w:bodyDiv w:val="1"/>
      <w:marLeft w:val="0"/>
      <w:marRight w:val="0"/>
      <w:marTop w:val="0"/>
      <w:marBottom w:val="0"/>
      <w:divBdr>
        <w:top w:val="none" w:sz="0" w:space="0" w:color="auto"/>
        <w:left w:val="none" w:sz="0" w:space="0" w:color="auto"/>
        <w:bottom w:val="none" w:sz="0" w:space="0" w:color="auto"/>
        <w:right w:val="none" w:sz="0" w:space="0" w:color="auto"/>
      </w:divBdr>
    </w:div>
    <w:div w:id="21634664">
      <w:bodyDiv w:val="1"/>
      <w:marLeft w:val="0"/>
      <w:marRight w:val="0"/>
      <w:marTop w:val="0"/>
      <w:marBottom w:val="0"/>
      <w:divBdr>
        <w:top w:val="none" w:sz="0" w:space="0" w:color="auto"/>
        <w:left w:val="none" w:sz="0" w:space="0" w:color="auto"/>
        <w:bottom w:val="none" w:sz="0" w:space="0" w:color="auto"/>
        <w:right w:val="none" w:sz="0" w:space="0" w:color="auto"/>
      </w:divBdr>
    </w:div>
    <w:div w:id="53243885">
      <w:bodyDiv w:val="1"/>
      <w:marLeft w:val="0"/>
      <w:marRight w:val="0"/>
      <w:marTop w:val="0"/>
      <w:marBottom w:val="0"/>
      <w:divBdr>
        <w:top w:val="none" w:sz="0" w:space="0" w:color="auto"/>
        <w:left w:val="none" w:sz="0" w:space="0" w:color="auto"/>
        <w:bottom w:val="none" w:sz="0" w:space="0" w:color="auto"/>
        <w:right w:val="none" w:sz="0" w:space="0" w:color="auto"/>
      </w:divBdr>
    </w:div>
    <w:div w:id="74985885">
      <w:bodyDiv w:val="1"/>
      <w:marLeft w:val="0"/>
      <w:marRight w:val="0"/>
      <w:marTop w:val="0"/>
      <w:marBottom w:val="0"/>
      <w:divBdr>
        <w:top w:val="none" w:sz="0" w:space="0" w:color="auto"/>
        <w:left w:val="none" w:sz="0" w:space="0" w:color="auto"/>
        <w:bottom w:val="none" w:sz="0" w:space="0" w:color="auto"/>
        <w:right w:val="none" w:sz="0" w:space="0" w:color="auto"/>
      </w:divBdr>
    </w:div>
    <w:div w:id="88039865">
      <w:bodyDiv w:val="1"/>
      <w:marLeft w:val="0"/>
      <w:marRight w:val="0"/>
      <w:marTop w:val="0"/>
      <w:marBottom w:val="0"/>
      <w:divBdr>
        <w:top w:val="none" w:sz="0" w:space="0" w:color="auto"/>
        <w:left w:val="none" w:sz="0" w:space="0" w:color="auto"/>
        <w:bottom w:val="none" w:sz="0" w:space="0" w:color="auto"/>
        <w:right w:val="none" w:sz="0" w:space="0" w:color="auto"/>
      </w:divBdr>
    </w:div>
    <w:div w:id="101263320">
      <w:bodyDiv w:val="1"/>
      <w:marLeft w:val="0"/>
      <w:marRight w:val="0"/>
      <w:marTop w:val="0"/>
      <w:marBottom w:val="0"/>
      <w:divBdr>
        <w:top w:val="none" w:sz="0" w:space="0" w:color="auto"/>
        <w:left w:val="none" w:sz="0" w:space="0" w:color="auto"/>
        <w:bottom w:val="none" w:sz="0" w:space="0" w:color="auto"/>
        <w:right w:val="none" w:sz="0" w:space="0" w:color="auto"/>
      </w:divBdr>
    </w:div>
    <w:div w:id="139274116">
      <w:bodyDiv w:val="1"/>
      <w:marLeft w:val="0"/>
      <w:marRight w:val="0"/>
      <w:marTop w:val="0"/>
      <w:marBottom w:val="0"/>
      <w:divBdr>
        <w:top w:val="none" w:sz="0" w:space="0" w:color="auto"/>
        <w:left w:val="none" w:sz="0" w:space="0" w:color="auto"/>
        <w:bottom w:val="none" w:sz="0" w:space="0" w:color="auto"/>
        <w:right w:val="none" w:sz="0" w:space="0" w:color="auto"/>
      </w:divBdr>
    </w:div>
    <w:div w:id="149566954">
      <w:bodyDiv w:val="1"/>
      <w:marLeft w:val="0"/>
      <w:marRight w:val="0"/>
      <w:marTop w:val="0"/>
      <w:marBottom w:val="0"/>
      <w:divBdr>
        <w:top w:val="none" w:sz="0" w:space="0" w:color="auto"/>
        <w:left w:val="none" w:sz="0" w:space="0" w:color="auto"/>
        <w:bottom w:val="none" w:sz="0" w:space="0" w:color="auto"/>
        <w:right w:val="none" w:sz="0" w:space="0" w:color="auto"/>
      </w:divBdr>
    </w:div>
    <w:div w:id="168256179">
      <w:bodyDiv w:val="1"/>
      <w:marLeft w:val="0"/>
      <w:marRight w:val="0"/>
      <w:marTop w:val="0"/>
      <w:marBottom w:val="0"/>
      <w:divBdr>
        <w:top w:val="none" w:sz="0" w:space="0" w:color="auto"/>
        <w:left w:val="none" w:sz="0" w:space="0" w:color="auto"/>
        <w:bottom w:val="none" w:sz="0" w:space="0" w:color="auto"/>
        <w:right w:val="none" w:sz="0" w:space="0" w:color="auto"/>
      </w:divBdr>
    </w:div>
    <w:div w:id="168643373">
      <w:bodyDiv w:val="1"/>
      <w:marLeft w:val="0"/>
      <w:marRight w:val="0"/>
      <w:marTop w:val="0"/>
      <w:marBottom w:val="0"/>
      <w:divBdr>
        <w:top w:val="none" w:sz="0" w:space="0" w:color="auto"/>
        <w:left w:val="none" w:sz="0" w:space="0" w:color="auto"/>
        <w:bottom w:val="none" w:sz="0" w:space="0" w:color="auto"/>
        <w:right w:val="none" w:sz="0" w:space="0" w:color="auto"/>
      </w:divBdr>
    </w:div>
    <w:div w:id="194975262">
      <w:bodyDiv w:val="1"/>
      <w:marLeft w:val="0"/>
      <w:marRight w:val="0"/>
      <w:marTop w:val="0"/>
      <w:marBottom w:val="0"/>
      <w:divBdr>
        <w:top w:val="none" w:sz="0" w:space="0" w:color="auto"/>
        <w:left w:val="none" w:sz="0" w:space="0" w:color="auto"/>
        <w:bottom w:val="none" w:sz="0" w:space="0" w:color="auto"/>
        <w:right w:val="none" w:sz="0" w:space="0" w:color="auto"/>
      </w:divBdr>
    </w:div>
    <w:div w:id="232856910">
      <w:bodyDiv w:val="1"/>
      <w:marLeft w:val="0"/>
      <w:marRight w:val="0"/>
      <w:marTop w:val="0"/>
      <w:marBottom w:val="0"/>
      <w:divBdr>
        <w:top w:val="none" w:sz="0" w:space="0" w:color="auto"/>
        <w:left w:val="none" w:sz="0" w:space="0" w:color="auto"/>
        <w:bottom w:val="none" w:sz="0" w:space="0" w:color="auto"/>
        <w:right w:val="none" w:sz="0" w:space="0" w:color="auto"/>
      </w:divBdr>
    </w:div>
    <w:div w:id="280840583">
      <w:bodyDiv w:val="1"/>
      <w:marLeft w:val="0"/>
      <w:marRight w:val="0"/>
      <w:marTop w:val="0"/>
      <w:marBottom w:val="0"/>
      <w:divBdr>
        <w:top w:val="none" w:sz="0" w:space="0" w:color="auto"/>
        <w:left w:val="none" w:sz="0" w:space="0" w:color="auto"/>
        <w:bottom w:val="none" w:sz="0" w:space="0" w:color="auto"/>
        <w:right w:val="none" w:sz="0" w:space="0" w:color="auto"/>
      </w:divBdr>
    </w:div>
    <w:div w:id="336157057">
      <w:bodyDiv w:val="1"/>
      <w:marLeft w:val="0"/>
      <w:marRight w:val="0"/>
      <w:marTop w:val="0"/>
      <w:marBottom w:val="0"/>
      <w:divBdr>
        <w:top w:val="none" w:sz="0" w:space="0" w:color="auto"/>
        <w:left w:val="none" w:sz="0" w:space="0" w:color="auto"/>
        <w:bottom w:val="none" w:sz="0" w:space="0" w:color="auto"/>
        <w:right w:val="none" w:sz="0" w:space="0" w:color="auto"/>
      </w:divBdr>
    </w:div>
    <w:div w:id="375736739">
      <w:bodyDiv w:val="1"/>
      <w:marLeft w:val="0"/>
      <w:marRight w:val="0"/>
      <w:marTop w:val="0"/>
      <w:marBottom w:val="0"/>
      <w:divBdr>
        <w:top w:val="none" w:sz="0" w:space="0" w:color="auto"/>
        <w:left w:val="none" w:sz="0" w:space="0" w:color="auto"/>
        <w:bottom w:val="none" w:sz="0" w:space="0" w:color="auto"/>
        <w:right w:val="none" w:sz="0" w:space="0" w:color="auto"/>
      </w:divBdr>
    </w:div>
    <w:div w:id="399443432">
      <w:bodyDiv w:val="1"/>
      <w:marLeft w:val="0"/>
      <w:marRight w:val="0"/>
      <w:marTop w:val="0"/>
      <w:marBottom w:val="0"/>
      <w:divBdr>
        <w:top w:val="none" w:sz="0" w:space="0" w:color="auto"/>
        <w:left w:val="none" w:sz="0" w:space="0" w:color="auto"/>
        <w:bottom w:val="none" w:sz="0" w:space="0" w:color="auto"/>
        <w:right w:val="none" w:sz="0" w:space="0" w:color="auto"/>
      </w:divBdr>
    </w:div>
    <w:div w:id="417868877">
      <w:bodyDiv w:val="1"/>
      <w:marLeft w:val="0"/>
      <w:marRight w:val="0"/>
      <w:marTop w:val="0"/>
      <w:marBottom w:val="0"/>
      <w:divBdr>
        <w:top w:val="none" w:sz="0" w:space="0" w:color="auto"/>
        <w:left w:val="none" w:sz="0" w:space="0" w:color="auto"/>
        <w:bottom w:val="none" w:sz="0" w:space="0" w:color="auto"/>
        <w:right w:val="none" w:sz="0" w:space="0" w:color="auto"/>
      </w:divBdr>
    </w:div>
    <w:div w:id="422184149">
      <w:bodyDiv w:val="1"/>
      <w:marLeft w:val="0"/>
      <w:marRight w:val="0"/>
      <w:marTop w:val="0"/>
      <w:marBottom w:val="0"/>
      <w:divBdr>
        <w:top w:val="none" w:sz="0" w:space="0" w:color="auto"/>
        <w:left w:val="none" w:sz="0" w:space="0" w:color="auto"/>
        <w:bottom w:val="none" w:sz="0" w:space="0" w:color="auto"/>
        <w:right w:val="none" w:sz="0" w:space="0" w:color="auto"/>
      </w:divBdr>
    </w:div>
    <w:div w:id="434135803">
      <w:bodyDiv w:val="1"/>
      <w:marLeft w:val="0"/>
      <w:marRight w:val="0"/>
      <w:marTop w:val="0"/>
      <w:marBottom w:val="0"/>
      <w:divBdr>
        <w:top w:val="none" w:sz="0" w:space="0" w:color="auto"/>
        <w:left w:val="none" w:sz="0" w:space="0" w:color="auto"/>
        <w:bottom w:val="none" w:sz="0" w:space="0" w:color="auto"/>
        <w:right w:val="none" w:sz="0" w:space="0" w:color="auto"/>
      </w:divBdr>
    </w:div>
    <w:div w:id="473912590">
      <w:bodyDiv w:val="1"/>
      <w:marLeft w:val="0"/>
      <w:marRight w:val="0"/>
      <w:marTop w:val="0"/>
      <w:marBottom w:val="0"/>
      <w:divBdr>
        <w:top w:val="none" w:sz="0" w:space="0" w:color="auto"/>
        <w:left w:val="none" w:sz="0" w:space="0" w:color="auto"/>
        <w:bottom w:val="none" w:sz="0" w:space="0" w:color="auto"/>
        <w:right w:val="none" w:sz="0" w:space="0" w:color="auto"/>
      </w:divBdr>
    </w:div>
    <w:div w:id="504825850">
      <w:bodyDiv w:val="1"/>
      <w:marLeft w:val="0"/>
      <w:marRight w:val="0"/>
      <w:marTop w:val="0"/>
      <w:marBottom w:val="0"/>
      <w:divBdr>
        <w:top w:val="none" w:sz="0" w:space="0" w:color="auto"/>
        <w:left w:val="none" w:sz="0" w:space="0" w:color="auto"/>
        <w:bottom w:val="none" w:sz="0" w:space="0" w:color="auto"/>
        <w:right w:val="none" w:sz="0" w:space="0" w:color="auto"/>
      </w:divBdr>
    </w:div>
    <w:div w:id="595787820">
      <w:bodyDiv w:val="1"/>
      <w:marLeft w:val="0"/>
      <w:marRight w:val="0"/>
      <w:marTop w:val="0"/>
      <w:marBottom w:val="0"/>
      <w:divBdr>
        <w:top w:val="none" w:sz="0" w:space="0" w:color="auto"/>
        <w:left w:val="none" w:sz="0" w:space="0" w:color="auto"/>
        <w:bottom w:val="none" w:sz="0" w:space="0" w:color="auto"/>
        <w:right w:val="none" w:sz="0" w:space="0" w:color="auto"/>
      </w:divBdr>
    </w:div>
    <w:div w:id="698893683">
      <w:bodyDiv w:val="1"/>
      <w:marLeft w:val="0"/>
      <w:marRight w:val="0"/>
      <w:marTop w:val="0"/>
      <w:marBottom w:val="0"/>
      <w:divBdr>
        <w:top w:val="none" w:sz="0" w:space="0" w:color="auto"/>
        <w:left w:val="none" w:sz="0" w:space="0" w:color="auto"/>
        <w:bottom w:val="none" w:sz="0" w:space="0" w:color="auto"/>
        <w:right w:val="none" w:sz="0" w:space="0" w:color="auto"/>
      </w:divBdr>
    </w:div>
    <w:div w:id="724763538">
      <w:bodyDiv w:val="1"/>
      <w:marLeft w:val="0"/>
      <w:marRight w:val="0"/>
      <w:marTop w:val="0"/>
      <w:marBottom w:val="0"/>
      <w:divBdr>
        <w:top w:val="none" w:sz="0" w:space="0" w:color="auto"/>
        <w:left w:val="none" w:sz="0" w:space="0" w:color="auto"/>
        <w:bottom w:val="none" w:sz="0" w:space="0" w:color="auto"/>
        <w:right w:val="none" w:sz="0" w:space="0" w:color="auto"/>
      </w:divBdr>
    </w:div>
    <w:div w:id="739984755">
      <w:bodyDiv w:val="1"/>
      <w:marLeft w:val="0"/>
      <w:marRight w:val="0"/>
      <w:marTop w:val="0"/>
      <w:marBottom w:val="0"/>
      <w:divBdr>
        <w:top w:val="none" w:sz="0" w:space="0" w:color="auto"/>
        <w:left w:val="none" w:sz="0" w:space="0" w:color="auto"/>
        <w:bottom w:val="none" w:sz="0" w:space="0" w:color="auto"/>
        <w:right w:val="none" w:sz="0" w:space="0" w:color="auto"/>
      </w:divBdr>
    </w:div>
    <w:div w:id="764037185">
      <w:bodyDiv w:val="1"/>
      <w:marLeft w:val="0"/>
      <w:marRight w:val="0"/>
      <w:marTop w:val="0"/>
      <w:marBottom w:val="0"/>
      <w:divBdr>
        <w:top w:val="none" w:sz="0" w:space="0" w:color="auto"/>
        <w:left w:val="none" w:sz="0" w:space="0" w:color="auto"/>
        <w:bottom w:val="none" w:sz="0" w:space="0" w:color="auto"/>
        <w:right w:val="none" w:sz="0" w:space="0" w:color="auto"/>
      </w:divBdr>
    </w:div>
    <w:div w:id="818575797">
      <w:bodyDiv w:val="1"/>
      <w:marLeft w:val="0"/>
      <w:marRight w:val="0"/>
      <w:marTop w:val="0"/>
      <w:marBottom w:val="0"/>
      <w:divBdr>
        <w:top w:val="none" w:sz="0" w:space="0" w:color="auto"/>
        <w:left w:val="none" w:sz="0" w:space="0" w:color="auto"/>
        <w:bottom w:val="none" w:sz="0" w:space="0" w:color="auto"/>
        <w:right w:val="none" w:sz="0" w:space="0" w:color="auto"/>
      </w:divBdr>
    </w:div>
    <w:div w:id="834610515">
      <w:bodyDiv w:val="1"/>
      <w:marLeft w:val="0"/>
      <w:marRight w:val="0"/>
      <w:marTop w:val="0"/>
      <w:marBottom w:val="0"/>
      <w:divBdr>
        <w:top w:val="none" w:sz="0" w:space="0" w:color="auto"/>
        <w:left w:val="none" w:sz="0" w:space="0" w:color="auto"/>
        <w:bottom w:val="none" w:sz="0" w:space="0" w:color="auto"/>
        <w:right w:val="none" w:sz="0" w:space="0" w:color="auto"/>
      </w:divBdr>
    </w:div>
    <w:div w:id="838815067">
      <w:bodyDiv w:val="1"/>
      <w:marLeft w:val="0"/>
      <w:marRight w:val="0"/>
      <w:marTop w:val="0"/>
      <w:marBottom w:val="0"/>
      <w:divBdr>
        <w:top w:val="none" w:sz="0" w:space="0" w:color="auto"/>
        <w:left w:val="none" w:sz="0" w:space="0" w:color="auto"/>
        <w:bottom w:val="none" w:sz="0" w:space="0" w:color="auto"/>
        <w:right w:val="none" w:sz="0" w:space="0" w:color="auto"/>
      </w:divBdr>
    </w:div>
    <w:div w:id="1018771273">
      <w:bodyDiv w:val="1"/>
      <w:marLeft w:val="0"/>
      <w:marRight w:val="0"/>
      <w:marTop w:val="0"/>
      <w:marBottom w:val="0"/>
      <w:divBdr>
        <w:top w:val="none" w:sz="0" w:space="0" w:color="auto"/>
        <w:left w:val="none" w:sz="0" w:space="0" w:color="auto"/>
        <w:bottom w:val="none" w:sz="0" w:space="0" w:color="auto"/>
        <w:right w:val="none" w:sz="0" w:space="0" w:color="auto"/>
      </w:divBdr>
    </w:div>
    <w:div w:id="1100494778">
      <w:bodyDiv w:val="1"/>
      <w:marLeft w:val="0"/>
      <w:marRight w:val="0"/>
      <w:marTop w:val="0"/>
      <w:marBottom w:val="0"/>
      <w:divBdr>
        <w:top w:val="none" w:sz="0" w:space="0" w:color="auto"/>
        <w:left w:val="none" w:sz="0" w:space="0" w:color="auto"/>
        <w:bottom w:val="none" w:sz="0" w:space="0" w:color="auto"/>
        <w:right w:val="none" w:sz="0" w:space="0" w:color="auto"/>
      </w:divBdr>
    </w:div>
    <w:div w:id="1125736079">
      <w:bodyDiv w:val="1"/>
      <w:marLeft w:val="0"/>
      <w:marRight w:val="0"/>
      <w:marTop w:val="0"/>
      <w:marBottom w:val="0"/>
      <w:divBdr>
        <w:top w:val="none" w:sz="0" w:space="0" w:color="auto"/>
        <w:left w:val="none" w:sz="0" w:space="0" w:color="auto"/>
        <w:bottom w:val="none" w:sz="0" w:space="0" w:color="auto"/>
        <w:right w:val="none" w:sz="0" w:space="0" w:color="auto"/>
      </w:divBdr>
    </w:div>
    <w:div w:id="1163473667">
      <w:bodyDiv w:val="1"/>
      <w:marLeft w:val="0"/>
      <w:marRight w:val="0"/>
      <w:marTop w:val="0"/>
      <w:marBottom w:val="0"/>
      <w:divBdr>
        <w:top w:val="none" w:sz="0" w:space="0" w:color="auto"/>
        <w:left w:val="none" w:sz="0" w:space="0" w:color="auto"/>
        <w:bottom w:val="none" w:sz="0" w:space="0" w:color="auto"/>
        <w:right w:val="none" w:sz="0" w:space="0" w:color="auto"/>
      </w:divBdr>
    </w:div>
    <w:div w:id="1194923043">
      <w:bodyDiv w:val="1"/>
      <w:marLeft w:val="0"/>
      <w:marRight w:val="0"/>
      <w:marTop w:val="0"/>
      <w:marBottom w:val="0"/>
      <w:divBdr>
        <w:top w:val="none" w:sz="0" w:space="0" w:color="auto"/>
        <w:left w:val="none" w:sz="0" w:space="0" w:color="auto"/>
        <w:bottom w:val="none" w:sz="0" w:space="0" w:color="auto"/>
        <w:right w:val="none" w:sz="0" w:space="0" w:color="auto"/>
      </w:divBdr>
    </w:div>
    <w:div w:id="1211183818">
      <w:bodyDiv w:val="1"/>
      <w:marLeft w:val="0"/>
      <w:marRight w:val="0"/>
      <w:marTop w:val="0"/>
      <w:marBottom w:val="0"/>
      <w:divBdr>
        <w:top w:val="none" w:sz="0" w:space="0" w:color="auto"/>
        <w:left w:val="none" w:sz="0" w:space="0" w:color="auto"/>
        <w:bottom w:val="none" w:sz="0" w:space="0" w:color="auto"/>
        <w:right w:val="none" w:sz="0" w:space="0" w:color="auto"/>
      </w:divBdr>
    </w:div>
    <w:div w:id="1239051748">
      <w:bodyDiv w:val="1"/>
      <w:marLeft w:val="0"/>
      <w:marRight w:val="0"/>
      <w:marTop w:val="0"/>
      <w:marBottom w:val="0"/>
      <w:divBdr>
        <w:top w:val="none" w:sz="0" w:space="0" w:color="auto"/>
        <w:left w:val="none" w:sz="0" w:space="0" w:color="auto"/>
        <w:bottom w:val="none" w:sz="0" w:space="0" w:color="auto"/>
        <w:right w:val="none" w:sz="0" w:space="0" w:color="auto"/>
      </w:divBdr>
    </w:div>
    <w:div w:id="1333605693">
      <w:bodyDiv w:val="1"/>
      <w:marLeft w:val="0"/>
      <w:marRight w:val="0"/>
      <w:marTop w:val="0"/>
      <w:marBottom w:val="0"/>
      <w:divBdr>
        <w:top w:val="none" w:sz="0" w:space="0" w:color="auto"/>
        <w:left w:val="none" w:sz="0" w:space="0" w:color="auto"/>
        <w:bottom w:val="none" w:sz="0" w:space="0" w:color="auto"/>
        <w:right w:val="none" w:sz="0" w:space="0" w:color="auto"/>
      </w:divBdr>
    </w:div>
    <w:div w:id="1352536569">
      <w:bodyDiv w:val="1"/>
      <w:marLeft w:val="0"/>
      <w:marRight w:val="0"/>
      <w:marTop w:val="0"/>
      <w:marBottom w:val="0"/>
      <w:divBdr>
        <w:top w:val="none" w:sz="0" w:space="0" w:color="auto"/>
        <w:left w:val="none" w:sz="0" w:space="0" w:color="auto"/>
        <w:bottom w:val="none" w:sz="0" w:space="0" w:color="auto"/>
        <w:right w:val="none" w:sz="0" w:space="0" w:color="auto"/>
      </w:divBdr>
    </w:div>
    <w:div w:id="1429617654">
      <w:bodyDiv w:val="1"/>
      <w:marLeft w:val="0"/>
      <w:marRight w:val="0"/>
      <w:marTop w:val="0"/>
      <w:marBottom w:val="0"/>
      <w:divBdr>
        <w:top w:val="none" w:sz="0" w:space="0" w:color="auto"/>
        <w:left w:val="none" w:sz="0" w:space="0" w:color="auto"/>
        <w:bottom w:val="none" w:sz="0" w:space="0" w:color="auto"/>
        <w:right w:val="none" w:sz="0" w:space="0" w:color="auto"/>
      </w:divBdr>
    </w:div>
    <w:div w:id="1437017944">
      <w:bodyDiv w:val="1"/>
      <w:marLeft w:val="0"/>
      <w:marRight w:val="0"/>
      <w:marTop w:val="0"/>
      <w:marBottom w:val="0"/>
      <w:divBdr>
        <w:top w:val="none" w:sz="0" w:space="0" w:color="auto"/>
        <w:left w:val="none" w:sz="0" w:space="0" w:color="auto"/>
        <w:bottom w:val="none" w:sz="0" w:space="0" w:color="auto"/>
        <w:right w:val="none" w:sz="0" w:space="0" w:color="auto"/>
      </w:divBdr>
    </w:div>
    <w:div w:id="1485047520">
      <w:bodyDiv w:val="1"/>
      <w:marLeft w:val="0"/>
      <w:marRight w:val="0"/>
      <w:marTop w:val="0"/>
      <w:marBottom w:val="0"/>
      <w:divBdr>
        <w:top w:val="none" w:sz="0" w:space="0" w:color="auto"/>
        <w:left w:val="none" w:sz="0" w:space="0" w:color="auto"/>
        <w:bottom w:val="none" w:sz="0" w:space="0" w:color="auto"/>
        <w:right w:val="none" w:sz="0" w:space="0" w:color="auto"/>
      </w:divBdr>
    </w:div>
    <w:div w:id="1547137003">
      <w:bodyDiv w:val="1"/>
      <w:marLeft w:val="0"/>
      <w:marRight w:val="0"/>
      <w:marTop w:val="0"/>
      <w:marBottom w:val="0"/>
      <w:divBdr>
        <w:top w:val="none" w:sz="0" w:space="0" w:color="auto"/>
        <w:left w:val="none" w:sz="0" w:space="0" w:color="auto"/>
        <w:bottom w:val="none" w:sz="0" w:space="0" w:color="auto"/>
        <w:right w:val="none" w:sz="0" w:space="0" w:color="auto"/>
      </w:divBdr>
    </w:div>
    <w:div w:id="1562204309">
      <w:bodyDiv w:val="1"/>
      <w:marLeft w:val="0"/>
      <w:marRight w:val="0"/>
      <w:marTop w:val="0"/>
      <w:marBottom w:val="0"/>
      <w:divBdr>
        <w:top w:val="none" w:sz="0" w:space="0" w:color="auto"/>
        <w:left w:val="none" w:sz="0" w:space="0" w:color="auto"/>
        <w:bottom w:val="none" w:sz="0" w:space="0" w:color="auto"/>
        <w:right w:val="none" w:sz="0" w:space="0" w:color="auto"/>
      </w:divBdr>
    </w:div>
    <w:div w:id="1605918294">
      <w:bodyDiv w:val="1"/>
      <w:marLeft w:val="0"/>
      <w:marRight w:val="0"/>
      <w:marTop w:val="0"/>
      <w:marBottom w:val="0"/>
      <w:divBdr>
        <w:top w:val="none" w:sz="0" w:space="0" w:color="auto"/>
        <w:left w:val="none" w:sz="0" w:space="0" w:color="auto"/>
        <w:bottom w:val="none" w:sz="0" w:space="0" w:color="auto"/>
        <w:right w:val="none" w:sz="0" w:space="0" w:color="auto"/>
      </w:divBdr>
    </w:div>
    <w:div w:id="1652563423">
      <w:bodyDiv w:val="1"/>
      <w:marLeft w:val="0"/>
      <w:marRight w:val="0"/>
      <w:marTop w:val="0"/>
      <w:marBottom w:val="0"/>
      <w:divBdr>
        <w:top w:val="none" w:sz="0" w:space="0" w:color="auto"/>
        <w:left w:val="none" w:sz="0" w:space="0" w:color="auto"/>
        <w:bottom w:val="none" w:sz="0" w:space="0" w:color="auto"/>
        <w:right w:val="none" w:sz="0" w:space="0" w:color="auto"/>
      </w:divBdr>
    </w:div>
    <w:div w:id="1657417808">
      <w:bodyDiv w:val="1"/>
      <w:marLeft w:val="0"/>
      <w:marRight w:val="0"/>
      <w:marTop w:val="0"/>
      <w:marBottom w:val="0"/>
      <w:divBdr>
        <w:top w:val="none" w:sz="0" w:space="0" w:color="auto"/>
        <w:left w:val="none" w:sz="0" w:space="0" w:color="auto"/>
        <w:bottom w:val="none" w:sz="0" w:space="0" w:color="auto"/>
        <w:right w:val="none" w:sz="0" w:space="0" w:color="auto"/>
      </w:divBdr>
    </w:div>
    <w:div w:id="1704404653">
      <w:bodyDiv w:val="1"/>
      <w:marLeft w:val="0"/>
      <w:marRight w:val="0"/>
      <w:marTop w:val="0"/>
      <w:marBottom w:val="0"/>
      <w:divBdr>
        <w:top w:val="none" w:sz="0" w:space="0" w:color="auto"/>
        <w:left w:val="none" w:sz="0" w:space="0" w:color="auto"/>
        <w:bottom w:val="none" w:sz="0" w:space="0" w:color="auto"/>
        <w:right w:val="none" w:sz="0" w:space="0" w:color="auto"/>
      </w:divBdr>
    </w:div>
    <w:div w:id="1742679734">
      <w:bodyDiv w:val="1"/>
      <w:marLeft w:val="0"/>
      <w:marRight w:val="0"/>
      <w:marTop w:val="0"/>
      <w:marBottom w:val="0"/>
      <w:divBdr>
        <w:top w:val="none" w:sz="0" w:space="0" w:color="auto"/>
        <w:left w:val="none" w:sz="0" w:space="0" w:color="auto"/>
        <w:bottom w:val="none" w:sz="0" w:space="0" w:color="auto"/>
        <w:right w:val="none" w:sz="0" w:space="0" w:color="auto"/>
      </w:divBdr>
    </w:div>
    <w:div w:id="1749037875">
      <w:bodyDiv w:val="1"/>
      <w:marLeft w:val="0"/>
      <w:marRight w:val="0"/>
      <w:marTop w:val="0"/>
      <w:marBottom w:val="0"/>
      <w:divBdr>
        <w:top w:val="none" w:sz="0" w:space="0" w:color="auto"/>
        <w:left w:val="none" w:sz="0" w:space="0" w:color="auto"/>
        <w:bottom w:val="none" w:sz="0" w:space="0" w:color="auto"/>
        <w:right w:val="none" w:sz="0" w:space="0" w:color="auto"/>
      </w:divBdr>
    </w:div>
    <w:div w:id="1777747842">
      <w:bodyDiv w:val="1"/>
      <w:marLeft w:val="0"/>
      <w:marRight w:val="0"/>
      <w:marTop w:val="0"/>
      <w:marBottom w:val="0"/>
      <w:divBdr>
        <w:top w:val="none" w:sz="0" w:space="0" w:color="auto"/>
        <w:left w:val="none" w:sz="0" w:space="0" w:color="auto"/>
        <w:bottom w:val="none" w:sz="0" w:space="0" w:color="auto"/>
        <w:right w:val="none" w:sz="0" w:space="0" w:color="auto"/>
      </w:divBdr>
    </w:div>
    <w:div w:id="1785420526">
      <w:bodyDiv w:val="1"/>
      <w:marLeft w:val="0"/>
      <w:marRight w:val="0"/>
      <w:marTop w:val="0"/>
      <w:marBottom w:val="0"/>
      <w:divBdr>
        <w:top w:val="none" w:sz="0" w:space="0" w:color="auto"/>
        <w:left w:val="none" w:sz="0" w:space="0" w:color="auto"/>
        <w:bottom w:val="none" w:sz="0" w:space="0" w:color="auto"/>
        <w:right w:val="none" w:sz="0" w:space="0" w:color="auto"/>
      </w:divBdr>
    </w:div>
    <w:div w:id="1795949157">
      <w:bodyDiv w:val="1"/>
      <w:marLeft w:val="0"/>
      <w:marRight w:val="0"/>
      <w:marTop w:val="0"/>
      <w:marBottom w:val="0"/>
      <w:divBdr>
        <w:top w:val="none" w:sz="0" w:space="0" w:color="auto"/>
        <w:left w:val="none" w:sz="0" w:space="0" w:color="auto"/>
        <w:bottom w:val="none" w:sz="0" w:space="0" w:color="auto"/>
        <w:right w:val="none" w:sz="0" w:space="0" w:color="auto"/>
      </w:divBdr>
    </w:div>
    <w:div w:id="1797872932">
      <w:bodyDiv w:val="1"/>
      <w:marLeft w:val="0"/>
      <w:marRight w:val="0"/>
      <w:marTop w:val="0"/>
      <w:marBottom w:val="0"/>
      <w:divBdr>
        <w:top w:val="none" w:sz="0" w:space="0" w:color="auto"/>
        <w:left w:val="none" w:sz="0" w:space="0" w:color="auto"/>
        <w:bottom w:val="none" w:sz="0" w:space="0" w:color="auto"/>
        <w:right w:val="none" w:sz="0" w:space="0" w:color="auto"/>
      </w:divBdr>
    </w:div>
    <w:div w:id="1806855164">
      <w:bodyDiv w:val="1"/>
      <w:marLeft w:val="0"/>
      <w:marRight w:val="0"/>
      <w:marTop w:val="0"/>
      <w:marBottom w:val="0"/>
      <w:divBdr>
        <w:top w:val="none" w:sz="0" w:space="0" w:color="auto"/>
        <w:left w:val="none" w:sz="0" w:space="0" w:color="auto"/>
        <w:bottom w:val="none" w:sz="0" w:space="0" w:color="auto"/>
        <w:right w:val="none" w:sz="0" w:space="0" w:color="auto"/>
      </w:divBdr>
    </w:div>
    <w:div w:id="1810897768">
      <w:bodyDiv w:val="1"/>
      <w:marLeft w:val="0"/>
      <w:marRight w:val="0"/>
      <w:marTop w:val="0"/>
      <w:marBottom w:val="0"/>
      <w:divBdr>
        <w:top w:val="none" w:sz="0" w:space="0" w:color="auto"/>
        <w:left w:val="none" w:sz="0" w:space="0" w:color="auto"/>
        <w:bottom w:val="none" w:sz="0" w:space="0" w:color="auto"/>
        <w:right w:val="none" w:sz="0" w:space="0" w:color="auto"/>
      </w:divBdr>
    </w:div>
    <w:div w:id="1843231047">
      <w:bodyDiv w:val="1"/>
      <w:marLeft w:val="0"/>
      <w:marRight w:val="0"/>
      <w:marTop w:val="0"/>
      <w:marBottom w:val="0"/>
      <w:divBdr>
        <w:top w:val="none" w:sz="0" w:space="0" w:color="auto"/>
        <w:left w:val="none" w:sz="0" w:space="0" w:color="auto"/>
        <w:bottom w:val="none" w:sz="0" w:space="0" w:color="auto"/>
        <w:right w:val="none" w:sz="0" w:space="0" w:color="auto"/>
      </w:divBdr>
    </w:div>
    <w:div w:id="1845169093">
      <w:bodyDiv w:val="1"/>
      <w:marLeft w:val="0"/>
      <w:marRight w:val="0"/>
      <w:marTop w:val="0"/>
      <w:marBottom w:val="0"/>
      <w:divBdr>
        <w:top w:val="none" w:sz="0" w:space="0" w:color="auto"/>
        <w:left w:val="none" w:sz="0" w:space="0" w:color="auto"/>
        <w:bottom w:val="none" w:sz="0" w:space="0" w:color="auto"/>
        <w:right w:val="none" w:sz="0" w:space="0" w:color="auto"/>
      </w:divBdr>
    </w:div>
    <w:div w:id="1852256928">
      <w:bodyDiv w:val="1"/>
      <w:marLeft w:val="0"/>
      <w:marRight w:val="0"/>
      <w:marTop w:val="0"/>
      <w:marBottom w:val="0"/>
      <w:divBdr>
        <w:top w:val="none" w:sz="0" w:space="0" w:color="auto"/>
        <w:left w:val="none" w:sz="0" w:space="0" w:color="auto"/>
        <w:bottom w:val="none" w:sz="0" w:space="0" w:color="auto"/>
        <w:right w:val="none" w:sz="0" w:space="0" w:color="auto"/>
      </w:divBdr>
    </w:div>
    <w:div w:id="1879856048">
      <w:bodyDiv w:val="1"/>
      <w:marLeft w:val="0"/>
      <w:marRight w:val="0"/>
      <w:marTop w:val="0"/>
      <w:marBottom w:val="0"/>
      <w:divBdr>
        <w:top w:val="none" w:sz="0" w:space="0" w:color="auto"/>
        <w:left w:val="none" w:sz="0" w:space="0" w:color="auto"/>
        <w:bottom w:val="none" w:sz="0" w:space="0" w:color="auto"/>
        <w:right w:val="none" w:sz="0" w:space="0" w:color="auto"/>
      </w:divBdr>
    </w:div>
    <w:div w:id="1898206240">
      <w:bodyDiv w:val="1"/>
      <w:marLeft w:val="0"/>
      <w:marRight w:val="0"/>
      <w:marTop w:val="0"/>
      <w:marBottom w:val="0"/>
      <w:divBdr>
        <w:top w:val="none" w:sz="0" w:space="0" w:color="auto"/>
        <w:left w:val="none" w:sz="0" w:space="0" w:color="auto"/>
        <w:bottom w:val="none" w:sz="0" w:space="0" w:color="auto"/>
        <w:right w:val="none" w:sz="0" w:space="0" w:color="auto"/>
      </w:divBdr>
    </w:div>
    <w:div w:id="1919750133">
      <w:bodyDiv w:val="1"/>
      <w:marLeft w:val="0"/>
      <w:marRight w:val="0"/>
      <w:marTop w:val="0"/>
      <w:marBottom w:val="0"/>
      <w:divBdr>
        <w:top w:val="none" w:sz="0" w:space="0" w:color="auto"/>
        <w:left w:val="none" w:sz="0" w:space="0" w:color="auto"/>
        <w:bottom w:val="none" w:sz="0" w:space="0" w:color="auto"/>
        <w:right w:val="none" w:sz="0" w:space="0" w:color="auto"/>
      </w:divBdr>
    </w:div>
    <w:div w:id="1967852506">
      <w:bodyDiv w:val="1"/>
      <w:marLeft w:val="0"/>
      <w:marRight w:val="0"/>
      <w:marTop w:val="0"/>
      <w:marBottom w:val="0"/>
      <w:divBdr>
        <w:top w:val="none" w:sz="0" w:space="0" w:color="auto"/>
        <w:left w:val="none" w:sz="0" w:space="0" w:color="auto"/>
        <w:bottom w:val="none" w:sz="0" w:space="0" w:color="auto"/>
        <w:right w:val="none" w:sz="0" w:space="0" w:color="auto"/>
      </w:divBdr>
    </w:div>
    <w:div w:id="1969847191">
      <w:bodyDiv w:val="1"/>
      <w:marLeft w:val="0"/>
      <w:marRight w:val="0"/>
      <w:marTop w:val="0"/>
      <w:marBottom w:val="0"/>
      <w:divBdr>
        <w:top w:val="none" w:sz="0" w:space="0" w:color="auto"/>
        <w:left w:val="none" w:sz="0" w:space="0" w:color="auto"/>
        <w:bottom w:val="none" w:sz="0" w:space="0" w:color="auto"/>
        <w:right w:val="none" w:sz="0" w:space="0" w:color="auto"/>
      </w:divBdr>
    </w:div>
    <w:div w:id="1997152123">
      <w:bodyDiv w:val="1"/>
      <w:marLeft w:val="0"/>
      <w:marRight w:val="0"/>
      <w:marTop w:val="0"/>
      <w:marBottom w:val="0"/>
      <w:divBdr>
        <w:top w:val="none" w:sz="0" w:space="0" w:color="auto"/>
        <w:left w:val="none" w:sz="0" w:space="0" w:color="auto"/>
        <w:bottom w:val="none" w:sz="0" w:space="0" w:color="auto"/>
        <w:right w:val="none" w:sz="0" w:space="0" w:color="auto"/>
      </w:divBdr>
    </w:div>
    <w:div w:id="2016806403">
      <w:bodyDiv w:val="1"/>
      <w:marLeft w:val="0"/>
      <w:marRight w:val="0"/>
      <w:marTop w:val="0"/>
      <w:marBottom w:val="0"/>
      <w:divBdr>
        <w:top w:val="none" w:sz="0" w:space="0" w:color="auto"/>
        <w:left w:val="none" w:sz="0" w:space="0" w:color="auto"/>
        <w:bottom w:val="none" w:sz="0" w:space="0" w:color="auto"/>
        <w:right w:val="none" w:sz="0" w:space="0" w:color="auto"/>
      </w:divBdr>
    </w:div>
    <w:div w:id="2093313093">
      <w:bodyDiv w:val="1"/>
      <w:marLeft w:val="0"/>
      <w:marRight w:val="0"/>
      <w:marTop w:val="0"/>
      <w:marBottom w:val="0"/>
      <w:divBdr>
        <w:top w:val="none" w:sz="0" w:space="0" w:color="auto"/>
        <w:left w:val="none" w:sz="0" w:space="0" w:color="auto"/>
        <w:bottom w:val="none" w:sz="0" w:space="0" w:color="auto"/>
        <w:right w:val="none" w:sz="0" w:space="0" w:color="auto"/>
      </w:divBdr>
    </w:div>
    <w:div w:id="21235690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1132</Words>
  <Characters>6458</Characters>
  <Application>Microsoft Office Word</Application>
  <DocSecurity>0</DocSecurity>
  <Lines>53</Lines>
  <Paragraphs>15</Paragraphs>
  <ScaleCrop>false</ScaleCrop>
  <Company>Microsoft</Company>
  <LinksUpToDate>false</LinksUpToDate>
  <CharactersWithSpaces>7575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dcterms:created xsi:type="dcterms:W3CDTF">2024-05-25T06:05:00Z</dcterms:created>
  <dcterms:modified xsi:type="dcterms:W3CDTF">2024-05-25T06:05:00Z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