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46D73">
      <w:pPr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b/>
          <w:bCs/>
          <w:color w:val="auto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AbMole小讲堂丨</w:t>
      </w: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Treosulfan</w:t>
      </w: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（Treosulphan）：高效DNA交联剂，</w:t>
      </w:r>
      <w:r>
        <w:rPr>
          <w:rFonts w:hint="default" w:ascii="Times New Roman" w:hAnsi="Times New Roman" w:eastAsia="微软雅黑" w:cs="Times New Roman"/>
          <w:b/>
          <w:bCs/>
          <w:color w:val="auto"/>
          <w:sz w:val="24"/>
          <w:szCs w:val="24"/>
        </w:rPr>
        <w:t>及其在肿瘤研究中的应用</w:t>
      </w:r>
    </w:p>
    <w:p w14:paraId="22E7DDD3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Treosulfan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（Treosulphan，</w:t>
      </w:r>
      <w:r>
        <w:rPr>
          <w:rFonts w:hint="default" w:ascii="Times New Roman" w:hAnsi="Times New Roman" w:eastAsia="微软雅黑" w:cs="Times New Roman"/>
          <w:sz w:val="24"/>
          <w:szCs w:val="24"/>
        </w:rPr>
        <w:t>NSC 39069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，AbMole，M13635）是一种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烷化剂 (alkylator)，可通过非酶促水解反应在生理环境中转化</w:t>
      </w:r>
      <w:bookmarkStart w:id="0" w:name="_GoBack"/>
      <w:bookmarkEnd w:id="0"/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为活性代谢产物，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并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展现出显著的细胞增殖抑制效应，为多种肿瘤模型和造血干细胞移植研究提供了重要工具。Treosulfan的化学结构包含一个六碳糖醇骨架，其中四个羟基被甲基化修饰，C2位的羟基被巯基取代，且在C1和C4位分别连接硫酸酯基团。这种结构设计使其在中性pH条件下保持化学稳定性，而在弱酸性环境中发生水解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：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先脱去硫酸酯基团生成中间产物单环氧乙烷衍生物（EBDM），进而自发环化形成具有亲电性的双环氧乙烷代谢物（DEB），上述活化过程无需酶催化。DEB作为</w:t>
      </w:r>
      <w:r>
        <w:rPr>
          <w:rFonts w:hint="default" w:ascii="Times New Roman" w:hAnsi="Times New Roman" w:eastAsia="微软雅黑" w:cs="Times New Roman"/>
          <w:sz w:val="24"/>
          <w:szCs w:val="24"/>
        </w:rPr>
        <w:t>Treosulfan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（NSC 39069）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的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最终活性形式，可通过攻击DNA分子中的亲核位点（主要是鸟嘌呤N7位）形成链内和链间交联，这种交联可导致DNA双螺旋结构扭曲，阻碍DNA聚合酶和拓扑异构酶的正常功能，最终引发S期细胞周期阻滞和凋亡通路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的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激活。与传统氮芥类烷化剂相比，Treosulfan的双环氧乙烷结构具有更高的DNA交联效率，其IC₅₀值在多种肿瘤细胞系中达到微摩尔甚至纳摩尔级别。</w:t>
      </w:r>
    </w:p>
    <w:p w14:paraId="656CDE51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Treosulfan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（Treosulphan，AbMole，M13635）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在造血干细胞移植领域，引起了广泛的关注。Treosulfan可有效清除宿主造血细胞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，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而对非造血组织损伤较小。例如Treosulfan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（CAS No.：299-75-2）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在NOD/SCID小鼠模型中，预处理（1.5 g/kg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/天，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3天）可显著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提高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CD34⁺细胞的移植成功率。除了血液瘤研究，Treosulfan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（NSC 39069）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还可用于其它肿瘤在细胞和动物层面上的研究，例如Treosulfan可联合Fludarabine协同杀伤卵巢癌细胞系SKOV3和OVCAR4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fldChar w:fldCharType="begin">
          <w:fldData xml:space="preserve">PEVuZE5vdGU+PENpdGU+PEF1dGhvcj5FbC1TZXJhZmk8L0F1dGhvcj48WWVhcj4yMDI0PC9ZZWFy
PjxSZWNOdW0+MTM5NzwvUmVjTnVtPjxEaXNwbGF5VGV4dD48c3R5bGUgZmFjZT0ic3VwZXJzY3Jp
cHQiPlszMl08L3N0eWxlPjwvRGlzcGxheVRleHQ+PHJlY29yZD48cmVjLW51bWJlcj4xMzk3PC9y
ZWMtbnVtYmVyPjxmb3JlaWduLWtleXM+PGtleSBhcHA9IkVOIiBkYi1pZD0iZjJ0ZDl3MDBhMjJh
d3RlcHJmcnA5dmF1cDlkOXp3YTl0ZGZyIiB0aW1lc3RhbXA9IjE3NjI4NTA5MDQiPjEzOTc8L2tl
eT48L2ZvcmVpZ24ta2V5cz48cmVmLXR5cGUgbmFtZT0iSm91cm5hbCBBcnRpY2xlIj4xNzwvcmVm
LXR5cGU+PGNvbnRyaWJ1dG9ycz48YXV0aG9ycz48YXV0aG9yPkVsLVNlcmFmaSwgSS48L2F1dGhv
cj48YXV0aG9yPk1pY2FsbGVmIE5pbHNzb24sIEkuPC9hdXRob3I+PGF1dGhvcj5Nb3RlciwgQS48
L2F1dGhvcj48YXV0aG9yPkR1YW4sIFouPC9hdXRob3I+PGF1dGhvcj5NYXR0c3NvbiwgSi48L2F1
dGhvcj48YXV0aG9yPk1hZ2FsaGFlcywgSS48L2F1dGhvcj48L2F1dGhvcnM+PC9jb250cmlidXRv
cnM+PGF1dGgtYWRkcmVzcz5EZXBhcnRtZW50IG9mIE9uY29sb2d5LVBhdGhvbG9neSwgS2Fyb2xp
bnNrYSBJbnN0aXR1dGV0LCBTdG9ja2hvbG0sIFN3ZWRlbi4gaS5lbHNlcmFmaUBham1hbi5hYy5h
ZS4mI3hEO0Jhc2ljIE1lZGljYWwgU2NpZW5jZXMgRGVwYXJ0bWVudCwgQ29sbGVnZSBvZiBNZWRp
Y2luZSwgQWptYW4gVW5pdmVyc2l0eSwgQWptYW4sIFVBRS4gaS5lbHNlcmFmaUBham1hbi5hYy5h
ZS4mI3hEO0RlcGFydG1lbnQgb2YgT25jb2xvZ3ktUGF0aG9sb2d5LCBLYXJvbGluc2thIEluc3Rp
dHV0ZXQsIFN0b2NraG9sbSwgU3dlZGVuLiYjeEQ7R2xvcmlhIGFuZCBTZXltb3VyIEVwc3RlaW4g
Q2hhaXIgaW4gQ2VsbCBUaGVyYXB5IGFuZCBUcmFuc3BsYW50YXRpb24sIFByaW5jZXNzIE1hcmdh
cmV0IENhbmNlciBDZW50cmUgYW5kIFVuaXZlcnNpdHkgb2YgVG9yb250bywgUHJpbmNlc3MgTWFy
Z2FyZXQgQ2FuY2VyIENlbnRyZSwgVW5pdmVyc2l0eSBIZWFsdGggTmV0d29yaywgVG9yb250bywg
T04sIENhbmFkYS4mI3hEO0RlcGFydG1lbnQgb2YgSW1tdW5vbG9neSBhbmQgVHJhbnNmdXNpb24g
TWVkaWNpbmUsIEthcm9saW5za2EgVW5pdmVyc2l0eSBIb3NwaXRhbCwgU3RvY2tob2xtLCBTd2Vk
ZW4uPC9hdXRoLWFkZHJlc3M+PHRpdGxlcz48dGl0bGU+SW1wYWN0IG9mIGZsdWRhcmFiaW5lIGFu
ZCB0cmVvc3VsZmFuIG9uIG92YXJpYW4gdHVtb3IgY2VsbHMgYW5kIG1lc290aGVsaW4gY2hpbWVy
aWMgYW50aWdlbiByZWNlcHRvciBUIGNlbGxzPC90aXRsZT48c2Vjb25kYXJ5LXRpdGxlPkNhbmNl
ciBJbW11bm9sIEltbXVub3RoZXI8L3NlY29uZGFyeS10aXRsZT48YWx0LXRpdGxlPkNhbmNlciBp
bW11bm9sb2d5LCBpbW11bm90aGVyYXB5IDogQ0lJPC9hbHQtdGl0bGU+PC90aXRsZXM+PHBlcmlv
ZGljYWw+PGZ1bGwtdGl0bGU+Q2FuY2VyIEltbXVub2wgSW1tdW5vdGhlcjwvZnVsbC10aXRsZT48
YWJici0xPkNhbmNlciBpbW11bm9sb2d5LCBpbW11bm90aGVyYXB5IDogQ0lJPC9hYmJyLTE+PC9w
ZXJpb2RpY2FsPjxhbHQtcGVyaW9kaWNhbD48ZnVsbC10aXRsZT5DYW5jZXIgSW1tdW5vbCBJbW11
bm90aGVyPC9mdWxsLXRpdGxlPjxhYmJyLTE+Q2FuY2VyIGltbXVub2xvZ3ksIGltbXVub3RoZXJh
cHkgOiBDSUk8L2FiYnItMT48L2FsdC1wZXJpb2RpY2FsPjxwYWdlcz4xNjM8L3BhZ2VzPjx2b2x1
bWU+NzM8L3ZvbHVtZT48bnVtYmVyPjk8L251bWJlcj48ZWRpdGlvbj4yMDI0LzA3LzAyPC9lZGl0
aW9uPjxrZXl3b3Jkcz48a2V5d29yZD4qVmlkYXJhYmluZS9hbmFsb2dzICZhbXA7IGRlcml2YXRp
dmVzL3BoYXJtYWNvbG9neTwva2V5d29yZD48a2V5d29yZD5IdW1hbnM8L2tleXdvcmQ+PGtleXdv
cmQ+RmVtYWxlPC9rZXl3b3JkPjxrZXl3b3JkPipNZXNvdGhlbGluPC9rZXl3b3JkPjxrZXl3b3Jk
PipPdmFyaWFuIE5lb3BsYXNtcy9pbW11bm9sb2d5L2RydWcgdGhlcmFweS90aGVyYXB5PC9rZXl3
b3JkPjxrZXl3b3JkPipSZWNlcHRvcnMsIENoaW1lcmljIEFudGlnZW4vaW1tdW5vbG9neTwva2V5
d29yZD48a2V5d29yZD4qR1BJLUxpbmtlZCBQcm90ZWluczwva2V5d29yZD48a2V5d29yZD4qQnVz
dWxmYW4vYW5hbG9ncyAmYW1wOyBkZXJpdmF0aXZlcy9waGFybWFjb2xvZ3k8L2tleXdvcmQ+PGtl
eXdvcmQ+KkltbXVub3RoZXJhcHksIEFkb3B0aXZlL21ldGhvZHM8L2tleXdvcmQ+PGtleXdvcmQ+
Q2VsbCBMaW5lLCBUdW1vcjwva2V5d29yZD48a2V5d29yZD5ULUx5bXBob2N5dGVzL2ltbXVub2xv
Z3kvZHJ1ZyBlZmZlY3RzPC9rZXl3b3JkPjxrZXl3b3JkPlR1bW9yIE1pY3JvZW52aXJvbm1lbnQv
ZHJ1ZyBlZmZlY3RzL2ltbXVub2xvZ3k8L2tleXdvcmQ+PGtleXdvcmQ+Q0FSIFQgY2VsbDwva2V5
d29yZD48a2V5d29yZD5GbHVkYXJhYmluZTwva2V5d29yZD48a2V5d29yZD5NZXNvdGhlbGluPC9r
ZXl3b3JkPjxrZXl3b3JkPk92YXJpYW4gY2FuY2VyPC9rZXl3b3JkPjxrZXl3b3JkPlRyZW9zdWxm
YW48L2tleXdvcmQ+PC9rZXl3b3Jkcz48ZGF0ZXM+PHllYXI+MjAyNDwveWVhcj48cHViLWRhdGVz
PjxkYXRlPkp1bCAyPC9kYXRlPjwvcHViLWRhdGVzPjwvZGF0ZXM+PGlzYm4+MDM0MC03MDA0IChQ
cmludCkmI3hEOzAzNDAtNzAwNDwvaXNibj48YWNjZXNzaW9uLW51bT4zODk1NDAwNTwvYWNjZXNz
aW9uLW51bT48dXJscz48L3VybHM+PGN1c3RvbTI+UE1DMTEyMTk2NDQ8L2N1c3RvbTI+PGVsZWN0
cm9uaWMtcmVzb3VyY2UtbnVtPjEwLjEwMDcvczAwMjYyLTAyNC0wMzc0MC0zPC9lbGVjdHJvbmlj
LXJlc291cmNlLW51bT48cmVtb3RlLWRhdGFiYXNlLXByb3ZpZGVyPk5MTTwvcmVtb3RlLWRhdGFi
YXNlLXByb3ZpZGVyPjxsYW5ndWFnZT5lbmc8L2xhbmd1YWdlPjwvcmVjb3JkPjwvQ2l0ZT48L0Vu
ZE5vdGU+
</w:fldData>
        </w:fldChar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  <w:lang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  <w:lang w:eastAsia="zh-CN"/>
        </w:rPr>
        <w:fldChar w:fldCharType="begin">
          <w:fldData xml:space="preserve">PEVuZE5vdGU+PENpdGU+PEF1dGhvcj5FbC1TZXJhZmk8L0F1dGhvcj48WWVhcj4yMDI0PC9ZZWFy
PjxSZWNOdW0+MTM5NzwvUmVjTnVtPjxEaXNwbGF5VGV4dD48c3R5bGUgZmFjZT0ic3VwZXJzY3Jp
cHQiPlsxXTwvc3R5bGU+PC9EaXNwbGF5VGV4dD48cmVjb3JkPjxyZWMtbnVtYmVyPjEzOTc8L3Jl
Yy1udW1iZXI+PGZvcmVpZ24ta2V5cz48a2V5IGFwcD0iRU4iIGRiLWlkPSJmMnRkOXcwMGEyMmF3
dGVwcmZycDl2YXVwOWQ5endhOXRkZnIiIHRpbWVzdGFtcD0iMTc2Mjg1MDkwNCI+MTM5Nzwva2V5
PjwvZm9yZWlnbi1rZXlzPjxyZWYtdHlwZSBuYW1lPSJKb3VybmFsIEFydGljbGUiPjE3PC9yZWYt
dHlwZT48Y29udHJpYnV0b3JzPjxhdXRob3JzPjxhdXRob3I+RWwtU2VyYWZpLCBJLjwvYXV0aG9y
PjxhdXRob3I+TWljYWxsZWYgTmlsc3NvbiwgSS48L2F1dGhvcj48YXV0aG9yPk1vdGVyLCBBLjwv
YXV0aG9yPjxhdXRob3I+RHVhbiwgWi48L2F1dGhvcj48YXV0aG9yPk1hdHRzc29uLCBKLjwvYXV0
aG9yPjxhdXRob3I+TWFnYWxoYWVzLCBJLjwvYXV0aG9yPjwvYXV0aG9ycz48L2NvbnRyaWJ1dG9y
cz48YXV0aC1hZGRyZXNzPkRlcGFydG1lbnQgb2YgT25jb2xvZ3ktUGF0aG9sb2d5LCBLYXJvbGlu
c2thIEluc3RpdHV0ZXQsIFN0b2NraG9sbSwgU3dlZGVuLiBpLmVsc2VyYWZpQGFqbWFuLmFjLmFl
LiYjeEQ7QmFzaWMgTWVkaWNhbCBTY2llbmNlcyBEZXBhcnRtZW50LCBDb2xsZWdlIG9mIE1lZGlj
aW5lLCBBam1hbiBVbml2ZXJzaXR5LCBBam1hbiwgVUFFLiBpLmVsc2VyYWZpQGFqbWFuLmFjLmFl
LiYjeEQ7RGVwYXJ0bWVudCBvZiBPbmNvbG9neS1QYXRob2xvZ3ksIEthcm9saW5za2EgSW5zdGl0
dXRldCwgU3RvY2tob2xtLCBTd2VkZW4uJiN4RDtHbG9yaWEgYW5kIFNleW1vdXIgRXBzdGVpbiBD
aGFpciBpbiBDZWxsIFRoZXJhcHkgYW5kIFRyYW5zcGxhbnRhdGlvbiwgUHJpbmNlc3MgTWFyZ2Fy
ZXQgQ2FuY2VyIENlbnRyZSBhbmQgVW5pdmVyc2l0eSBvZiBUb3JvbnRvLCBQcmluY2VzcyBNYXJn
YXJldCBDYW5jZXIgQ2VudHJlLCBVbml2ZXJzaXR5IEhlYWx0aCBOZXR3b3JrLCBUb3JvbnRvLCBP
TiwgQ2FuYWRhLiYjeEQ7RGVwYXJ0bWVudCBvZiBJbW11bm9sb2d5IGFuZCBUcmFuc2Z1c2lvbiBN
ZWRpY2luZSwgS2Fyb2xpbnNrYSBVbml2ZXJzaXR5IEhvc3BpdGFsLCBTdG9ja2hvbG0sIFN3ZWRl
bi48L2F1dGgtYWRkcmVzcz48dGl0bGVzPjx0aXRsZT5JbXBhY3Qgb2YgZmx1ZGFyYWJpbmUgYW5k
IHRyZW9zdWxmYW4gb24gb3ZhcmlhbiB0dW1vciBjZWxscyBhbmQgbWVzb3RoZWxpbiBjaGltZXJp
YyBhbnRpZ2VuIHJlY2VwdG9yIFQgY2VsbHM8L3RpdGxlPjxzZWNvbmRhcnktdGl0bGU+Q2FuY2Vy
IEltbXVub2wgSW1tdW5vdGhlcjwvc2Vjb25kYXJ5LXRpdGxlPjxhbHQtdGl0bGU+Q2FuY2VyIGlt
bXVub2xvZ3ksIGltbXVub3RoZXJhcHkgOiBDSUk8L2FsdC10aXRsZT48L3RpdGxlcz48cGVyaW9k
aWNhbD48ZnVsbC10aXRsZT5DYW5jZXIgSW1tdW5vbCBJbW11bm90aGVyPC9mdWxsLXRpdGxlPjxh
YmJyLTE+Q2FuY2VyIGltbXVub2xvZ3ksIGltbXVub3RoZXJhcHkgOiBDSUk8L2FiYnItMT48L3Bl
cmlvZGljYWw+PGFsdC1wZXJpb2RpY2FsPjxmdWxsLXRpdGxlPkNhbmNlciBJbW11bm9sIEltbXVu
b3RoZXI8L2Z1bGwtdGl0bGU+PGFiYnItMT5DYW5jZXIgaW1tdW5vbG9neSwgaW1tdW5vdGhlcmFw
eSA6IENJSTwvYWJici0xPjwvYWx0LXBlcmlvZGljYWw+PHBhZ2VzPjE2MzwvcGFnZXM+PHZvbHVt
ZT43Mzwvdm9sdW1lPjxudW1iZXI+OTwvbnVtYmVyPjxlZGl0aW9uPjIwMjQvMDcvMDI8L2VkaXRp
b24+PGtleXdvcmRzPjxrZXl3b3JkPipWaWRhcmFiaW5lL2FuYWxvZ3MgJmFtcDsgZGVyaXZhdGl2
ZXMvcGhhcm1hY29sb2d5PC9rZXl3b3JkPjxrZXl3b3JkPkh1bWFuczwva2V5d29yZD48a2V5d29y
ZD5GZW1hbGU8L2tleXdvcmQ+PGtleXdvcmQ+Kk1lc290aGVsaW48L2tleXdvcmQ+PGtleXdvcmQ+
Kk92YXJpYW4gTmVvcGxhc21zL2ltbXVub2xvZ3kvZHJ1ZyB0aGVyYXB5L3RoZXJhcHk8L2tleXdv
cmQ+PGtleXdvcmQ+KlJlY2VwdG9ycywgQ2hpbWVyaWMgQW50aWdlbi9pbW11bm9sb2d5PC9rZXl3
b3JkPjxrZXl3b3JkPipHUEktTGlua2VkIFByb3RlaW5zPC9rZXl3b3JkPjxrZXl3b3JkPipCdXN1
bGZhbi9hbmFsb2dzICZhbXA7IGRlcml2YXRpdmVzL3BoYXJtYWNvbG9neTwva2V5d29yZD48a2V5
d29yZD4qSW1tdW5vdGhlcmFweSwgQWRvcHRpdmUvbWV0aG9kczwva2V5d29yZD48a2V5d29yZD5D
ZWxsIExpbmUsIFR1bW9yPC9rZXl3b3JkPjxrZXl3b3JkPlQtTHltcGhvY3l0ZXMvaW1tdW5vbG9n
eS9kcnVnIGVmZmVjdHM8L2tleXdvcmQ+PGtleXdvcmQ+VHVtb3IgTWljcm9lbnZpcm9ubWVudC9k
cnVnIGVmZmVjdHMvaW1tdW5vbG9neTwva2V5d29yZD48a2V5d29yZD5DQVIgVCBjZWxsPC9rZXl3
b3JkPjxrZXl3b3JkPkZsdWRhcmFiaW5lPC9rZXl3b3JkPjxrZXl3b3JkPk1lc290aGVsaW48L2tl
eXdvcmQ+PGtleXdvcmQ+T3ZhcmlhbiBjYW5jZXI8L2tleXdvcmQ+PGtleXdvcmQ+VHJlb3N1bGZh
bjwva2V5d29yZD48L2tleXdvcmRzPjxkYXRlcz48eWVhcj4yMDI0PC95ZWFyPjxwdWItZGF0ZXM+
PGRhdGU+SnVsIDI8L2RhdGU+PC9wdWItZGF0ZXM+PC9kYXRlcz48aXNibj4wMzQwLTcwMDQgKFBy
aW50KSYjeEQ7MDM0MC03MDA0PC9pc2JuPjxhY2Nlc3Npb24tbnVtPjM4OTU0MDA1PC9hY2Nlc3Np
b24tbnVtPjx1cmxzPjwvdXJscz48Y3VzdG9tMj5QTUMxMTIxOTY0NDwvY3VzdG9tMj48ZWxlY3Ry
b25pYy1yZXNvdXJjZS1udW0+MTAuMTAwNy9zMDAyNjItMDI0LTAzNzQwLTM8L2VsZWN0cm9uaWMt
cmVzb3VyY2UtbnVtPjxyZW1vdGUtZGF0YWJhc2UtcHJvdmlkZXI+TkxNPC9yZW1vdGUtZGF0YWJh
c2UtcHJvdmlkZXI+PGxhbmd1YWdlPmVuZzwvbGFuZ3VhZ2U+PC9yZWNvcmQ+PC9DaXRlPjwvRW5k
Tm90ZT4A
</w:fldData>
        </w:fldChar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  <w:lang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  <w:lang w:eastAsia="zh-CN"/>
        </w:rPr>
        <w:fldChar w:fldCharType="end"/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fldChar w:fldCharType="separate"/>
      </w:r>
      <w:r>
        <w:rPr>
          <w:rFonts w:hint="default" w:ascii="Times New Roman" w:hAnsi="Times New Roman" w:eastAsia="微软雅黑" w:cs="Times New Roman"/>
          <w:color w:val="212529"/>
          <w:kern w:val="2"/>
          <w:sz w:val="24"/>
          <w:szCs w:val="24"/>
          <w:shd w:val="clear" w:color="auto" w:fill="FFFFFF"/>
          <w:vertAlign w:val="superscript"/>
          <w:lang w:val="en-US" w:eastAsia="zh-CN" w:bidi="ar-SA"/>
        </w:rPr>
        <w:t>[1]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fldChar w:fldCharType="end"/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。Treosulfan在Ewing肉瘤A673细胞异种移植模型中，腹腔注射（150 mg/kg，每周2次）可使肿瘤体积缩小64%，同时下调ETS融合基因的表达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fldChar w:fldCharType="begin"/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  <w:lang w:eastAsia="zh-CN"/>
        </w:rPr>
        <w:instrText xml:space="preserve"> ADDIN EN.CITE &lt;EndNote&gt;&lt;Cite&gt;&lt;Author&gt;Werner&lt;/Author&gt;&lt;Year&gt;2008&lt;/Year&gt;&lt;RecNum&gt;1398&lt;/RecNum&gt;&lt;DisplayText&gt;&lt;style face="superscript"&gt;[2]&lt;/style&gt;&lt;/DisplayText&gt;&lt;record&gt;&lt;rec-number&gt;1398&lt;/rec-number&gt;&lt;foreign-keys&gt;&lt;key app="EN" db-id="f2td9w00a22awteprfrp9vaup9d9zwa9tdfr" timestamp="1762851043"&gt;1398&lt;/key&gt;&lt;/foreign-keys&gt;&lt;ref-type name="Journal Article"&gt;17&lt;/ref-type&gt;&lt;contributors&gt;&lt;authors&gt;&lt;author&gt;Werner, Sebastian&lt;/author&gt;&lt;author&gt;Mendoza, Arnulfo&lt;/author&gt;&lt;author&gt;Hilger, Ralf A&lt;/author&gt;&lt;author&gt;Erlacher, Miriam&lt;/author&gt;&lt;author&gt;Reichardt, Wilfried&lt;/author&gt;&lt;author&gt;Lissat, Andrej&lt;/author&gt;&lt;author&gt;Konanz, Claudia&lt;/author&gt;&lt;author&gt;Uhl, Marcus&lt;/author&gt;&lt;author&gt;Niemeyer, Charlotte M&lt;/author&gt;&lt;author&gt;Khanna, Chand %J Cancer chemotherapy&lt;/author&gt;&lt;author&gt;pharmacology&lt;/author&gt;&lt;/authors&gt;&lt;/contributors&gt;&lt;titles&gt;&lt;title&gt;Preclinical studies of treosulfan demonstrate potent activity in Ewing’s sarcoma&lt;/title&gt;&lt;/titles&gt;&lt;pages&gt;19-31&lt;/pages&gt;&lt;volume&gt;62&lt;/volume&gt;&lt;number&gt;1&lt;/number&gt;&lt;dates&gt;&lt;year&gt;2008&lt;/year&gt;&lt;/dates&gt;&lt;isbn&gt;0344-5704&lt;/isbn&gt;&lt;urls&gt;&lt;/urls&gt;&lt;/record&gt;&lt;/Cite&gt;&lt;/EndNote&gt;</w:instrTex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fldChar w:fldCharType="separate"/>
      </w:r>
      <w:r>
        <w:rPr>
          <w:rFonts w:hint="default" w:ascii="Times New Roman" w:hAnsi="Times New Roman" w:eastAsia="微软雅黑" w:cs="Times New Roman"/>
          <w:color w:val="212529"/>
          <w:kern w:val="2"/>
          <w:sz w:val="24"/>
          <w:szCs w:val="24"/>
          <w:shd w:val="clear" w:color="auto" w:fill="FFFFFF"/>
          <w:vertAlign w:val="superscript"/>
          <w:lang w:val="en-US" w:eastAsia="zh-CN" w:bidi="ar-SA"/>
        </w:rPr>
        <w:t>[2]</w:t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fldChar w:fldCharType="end"/>
      </w:r>
      <w:r>
        <w:rPr>
          <w:rFonts w:hint="default" w:ascii="Times New Roman" w:hAnsi="Times New Roman" w:eastAsia="微软雅黑" w:cs="Times New Roman"/>
          <w:color w:val="212529"/>
          <w:sz w:val="24"/>
          <w:szCs w:val="24"/>
          <w:shd w:val="clear" w:color="auto" w:fill="FFFFFF"/>
        </w:rPr>
        <w:t>。</w:t>
      </w:r>
    </w:p>
    <w:p w14:paraId="1CC4AA4D">
      <w:pPr>
        <w:pStyle w:val="2"/>
        <w:widowControl/>
        <w:wordWrap w:val="0"/>
        <w:spacing w:beforeAutospacing="0" w:afterAutospacing="0" w:line="360" w:lineRule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5D25AF25">
      <w:pPr>
        <w:pStyle w:val="2"/>
        <w:widowControl/>
        <w:wordWrap w:val="0"/>
        <w:spacing w:beforeAutospacing="0" w:afterAutospacing="0" w:line="360" w:lineRule="auto"/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参考文献及鸣谢</w:t>
      </w:r>
    </w:p>
    <w:p w14:paraId="458F554C">
      <w:pPr>
        <w:pStyle w:val="7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EN.REFLIST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[1] I. El-Serafi, I. Micallef Nilsson, A. Moter, et al., Impact of fludarabine and treosulfan on ovarian tumor cells and mesothelin chimeric antigen receptor T cells, Cancer immunology, immunotherapy : CII 73(9) (2024) 163.</w:t>
      </w:r>
    </w:p>
    <w:p w14:paraId="1B08F348">
      <w:pPr>
        <w:pStyle w:val="7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[2] Sebastian Werner, Arnulfo Mendoza, Ralf A Hilger, et al., Preclinical studies of treosulfan demonstrate potent activity in Ewing’s sarcoma, 62(1) (2008) 19-31.</w:t>
      </w:r>
    </w:p>
    <w:p w14:paraId="240E5A44">
      <w:pP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Biomaterials推文2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2td9w00a22awteprfrp9vaup9d9zwa9tdfr&quot;&gt;我的EndNote库&lt;record-ids&gt;&lt;item&gt;1397&lt;/item&gt;&lt;item&gt;1398&lt;/item&gt;&lt;/record-ids&gt;&lt;/item&gt;&lt;/Libraries&gt;"/>
  </w:docVars>
  <w:rsids>
    <w:rsidRoot w:val="42603D5F"/>
    <w:rsid w:val="0D6B2B13"/>
    <w:rsid w:val="360016DD"/>
    <w:rsid w:val="3B702E61"/>
    <w:rsid w:val="42603D5F"/>
    <w:rsid w:val="42DE6F13"/>
    <w:rsid w:val="5B157C52"/>
    <w:rsid w:val="69D02B99"/>
    <w:rsid w:val="7FD46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EndNote Bibliography Title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  <w:style w:type="paragraph" w:customStyle="1" w:styleId="7">
    <w:name w:val="EndNote Bibliography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701</Words>
  <Characters>1251</Characters>
  <Lines>0</Lines>
  <Paragraphs>0</Paragraphs>
  <TotalTime>111</TotalTime>
  <ScaleCrop>false</ScaleCrop>
  <LinksUpToDate>false</LinksUpToDate>
  <CharactersWithSpaces>1313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2025-11-17T07:48:00Z</dcterms:created>
  <dc:creator>宋听</dc:creator>
  <cp:lastModifiedBy>Tae</cp:lastModifiedBy>
  <dcterms:modified xsi:type="dcterms:W3CDTF">2025-11-21T09:08:27Z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5FAC94F76D91418F834D07EBD7216EAB_13</vt:lpwstr>
  </property>
  <property fmtid="{D5CDD505-2E9C-101B-9397-08002B2CF9AE}" pid="4" name="KSOTemplateDocerSaveRecord">
    <vt:lpwstr>eyJoZGlkIjoiMWJmYmVhMGQ2YWQwOTc0ZDFkYmVkZTE0NzFkNThlYzIiLCJ1c2VySWQiOiIzNjg1MzQ2NjUifQ==</vt:lpwstr>
  </property>
</Properties>
</file>