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16EB5D">
      <w:pPr>
        <w:pStyle w:val="167"/>
        <w:rPr>
          <w:lang w:eastAsia="zh-CN"/>
        </w:rPr>
      </w:pPr>
      <w:bookmarkStart w:id="0" w:name="_Toc481801204"/>
      <w:bookmarkStart w:id="1" w:name="OLE_LINK15"/>
      <w:bookmarkStart w:id="2" w:name="_Toc453597319"/>
      <w:bookmarkStart w:id="3" w:name="_Toc517262917"/>
      <w:bookmarkStart w:id="4" w:name="_Toc438987549"/>
      <w:bookmarkStart w:id="5" w:name="OLE_LINK13"/>
      <w:bookmarkStart w:id="6" w:name="_Toc415818939"/>
      <w:bookmarkStart w:id="7" w:name="OLE_LINK40"/>
      <w:bookmarkStart w:id="8" w:name="OLE_LINK24"/>
      <w:bookmarkStart w:id="9" w:name="_Toc415142861"/>
      <w:bookmarkStart w:id="10" w:name="_Toc415143481"/>
      <w:bookmarkStart w:id="11" w:name="OLE_LINK39"/>
      <w:bookmarkStart w:id="12" w:name="_Toc418070112"/>
      <w:r>
        <w:rPr>
          <w:lang w:eastAsia="zh-CN"/>
        </w:rPr>
        <w:t>生物危害和犯罪现场清理</w:t>
      </w:r>
      <w:r>
        <w:rPr>
          <w:rFonts w:hint="eastAsia"/>
          <w:lang w:eastAsia="zh-CN"/>
        </w:rPr>
        <w:t>服务介绍</w:t>
      </w:r>
    </w:p>
    <w:p w14:paraId="106910C8">
      <w:pPr>
        <w:rPr>
          <w:color w:val="0D0D0D" w:themeColor="text1" w:themeTint="F2"/>
          <w:kern w:val="0"/>
          <w:szCs w:val="22"/>
          <w:lang w:val="en-IN"/>
          <w14:textFill>
            <w14:solidFill>
              <w14:schemeClr w14:val="tx1">
                <w14:lumMod w14:val="95000"/>
                <w14:lumOff w14:val="5000"/>
              </w14:schemeClr>
            </w14:solidFill>
          </w14:textFill>
        </w:rPr>
      </w:pPr>
      <w:r>
        <w:rPr>
          <w:rFonts w:hint="eastAsia"/>
          <w:color w:val="0D0D0D" w:themeColor="text1" w:themeTint="F2"/>
          <w:kern w:val="0"/>
          <w:szCs w:val="22"/>
          <w:lang w:val="en-IN"/>
          <w14:textFill>
            <w14:solidFill>
              <w14:schemeClr w14:val="tx1">
                <w14:lumMod w14:val="95000"/>
                <w14:lumOff w14:val="5000"/>
              </w14:schemeClr>
            </w14:solidFill>
          </w14:textFill>
        </w:rPr>
        <w:t>生物危害和犯罪现场清理是一项专门服务，涉及对犯罪现场、事故、无人看管死亡和其他涉及生物危害的情况产生的生物和危险材料进行清洁、消毒和安全处置。这种类型的清理对于将受影响区域恢复到安全和适宜居住的条件至关重要，同时确保居住者和清理人员的健康和安全。生物危害和犯罪现场清理是一项关键服务，需要专业知识、技能和设备来有效、安全地处理和补救生物危害情况</w:t>
      </w:r>
      <w:r>
        <w:rPr>
          <w:rFonts w:hint="eastAsia"/>
        </w:rPr>
        <w:t>。</w:t>
      </w:r>
    </w:p>
    <w:p w14:paraId="197A2D36">
      <w:pPr>
        <w:keepNext/>
        <w:keepLines/>
        <w:pBdr>
          <w:bottom w:val="single" w:color="auto" w:sz="4" w:space="1"/>
        </w:pBdr>
        <w:tabs>
          <w:tab w:val="left" w:pos="284"/>
        </w:tabs>
        <w:spacing w:before="240" w:after="120"/>
        <w:ind w:left="357" w:hanging="357"/>
        <w:jc w:val="left"/>
        <w:rPr>
          <w:rFonts w:cs="Arial"/>
          <w:b/>
          <w:color w:val="FF8200"/>
          <w:kern w:val="0"/>
          <w:szCs w:val="22"/>
        </w:rPr>
      </w:pPr>
      <w:bookmarkStart w:id="13" w:name="_Hlk178522117"/>
      <w:r>
        <w:rPr>
          <w:rFonts w:hint="eastAsia" w:cs="Arial"/>
          <w:b/>
          <w:color w:val="FF8200"/>
          <w:kern w:val="0"/>
          <w:szCs w:val="22"/>
        </w:rPr>
        <w:t>图. 生物危害和犯罪现场清理图片</w:t>
      </w:r>
    </w:p>
    <w:bookmarkEnd w:id="13"/>
    <w:p w14:paraId="73094561">
      <w:pPr>
        <w:widowControl/>
        <w:topLinePunct w:val="0"/>
        <w:spacing w:before="320" w:after="80" w:line="259" w:lineRule="auto"/>
        <w:rPr>
          <w:i/>
          <w:iCs/>
          <w:color w:val="0D0D0D" w:themeColor="text1" w:themeTint="F2"/>
          <w:kern w:val="0"/>
          <w:sz w:val="15"/>
          <w:szCs w:val="16"/>
          <w14:textFill>
            <w14:solidFill>
              <w14:schemeClr w14:val="tx1">
                <w14:lumMod w14:val="95000"/>
                <w14:lumOff w14:val="5000"/>
              </w14:schemeClr>
            </w14:solidFill>
          </w14:textFill>
        </w:rPr>
      </w:pPr>
      <w:r>
        <w:rPr>
          <w:rFonts w:hint="eastAsia"/>
        </w:rPr>
        <w:drawing>
          <wp:inline distT="0" distB="0" distL="0" distR="0">
            <wp:extent cx="2105025" cy="1400810"/>
            <wp:effectExtent l="0" t="0" r="0" b="8890"/>
            <wp:docPr id="1441738006" name="图片 2" descr="Crime Scene Cleanup in Lafayette, IN | Puro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738006" name="图片 2" descr="Crime Scene Cleanup in Lafayette, IN | PuroCle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109664" cy="1404422"/>
                    </a:xfrm>
                    <a:prstGeom prst="rect">
                      <a:avLst/>
                    </a:prstGeom>
                    <a:noFill/>
                    <a:ln>
                      <a:noFill/>
                    </a:ln>
                  </pic:spPr>
                </pic:pic>
              </a:graphicData>
            </a:graphic>
          </wp:inline>
        </w:drawing>
      </w:r>
    </w:p>
    <w:p w14:paraId="71096DF5">
      <w:pPr>
        <w:widowControl/>
        <w:topLinePunct w:val="0"/>
        <w:spacing w:before="320" w:after="80" w:line="259" w:lineRule="auto"/>
        <w:rPr>
          <w:i/>
          <w:iCs/>
          <w:color w:val="0D0D0D" w:themeColor="text1" w:themeTint="F2"/>
          <w:kern w:val="0"/>
          <w:sz w:val="15"/>
          <w:szCs w:val="16"/>
          <w14:textFill>
            <w14:solidFill>
              <w14:schemeClr w14:val="tx1">
                <w14:lumMod w14:val="95000"/>
                <w14:lumOff w14:val="5000"/>
              </w14:schemeClr>
            </w14:solidFill>
          </w14:textFill>
        </w:rPr>
      </w:pPr>
      <w:r>
        <w:rPr>
          <w:rFonts w:hint="eastAsia"/>
          <w:i/>
          <w:iCs/>
          <w:color w:val="0D0D0D" w:themeColor="text1" w:themeTint="F2"/>
          <w:kern w:val="0"/>
          <w:sz w:val="15"/>
          <w:szCs w:val="16"/>
          <w14:textFill>
            <w14:solidFill>
              <w14:schemeClr w14:val="tx1">
                <w14:lumMod w14:val="95000"/>
                <w14:lumOff w14:val="5000"/>
              </w14:schemeClr>
            </w14:solidFill>
          </w14:textFill>
        </w:rPr>
        <w:t>资料来源：第三方资料及QYResearch整理</w:t>
      </w:r>
    </w:p>
    <w:p w14:paraId="435E3011">
      <w:pPr>
        <w:pStyle w:val="145"/>
        <w:rPr>
          <w:lang w:eastAsia="zh-CN"/>
        </w:rPr>
      </w:pPr>
      <w:r>
        <w:rPr>
          <w:rFonts w:hint="eastAsia"/>
          <w:lang w:eastAsia="zh-CN"/>
        </w:rPr>
        <w:t>据QYResearch调研团队最新报告“全球生物危害和犯罪现场清理市场报告2025-2031”显示，预计2031年全球生物危害和犯罪现场清理市场规模将达到2.6亿美元，未来几年年复合增长率CAGR为5.3%。</w:t>
      </w:r>
    </w:p>
    <w:p w14:paraId="3F6C2722">
      <w:pPr>
        <w:pStyle w:val="148"/>
        <w:numPr>
          <w:ilvl w:val="0"/>
          <w:numId w:val="0"/>
        </w:numPr>
        <w:rPr>
          <w:lang w:eastAsia="zh-CN"/>
        </w:rPr>
      </w:pPr>
      <w:r>
        <w:rPr>
          <w:lang w:eastAsia="zh-CN"/>
        </w:rPr>
        <w:t>生物危害和犯罪现场清理</w:t>
      </w:r>
      <w:r>
        <w:rPr>
          <w:rFonts w:hint="eastAsia"/>
          <w:lang w:eastAsia="zh-CN"/>
        </w:rPr>
        <w:t>，全球市场总体规模</w:t>
      </w:r>
    </w:p>
    <w:p w14:paraId="33261207">
      <w:pPr>
        <w:pStyle w:val="145"/>
      </w:pPr>
      <w:r>
        <w:drawing>
          <wp:inline distT="0" distB="0" distL="0" distR="0">
            <wp:extent cx="6188710" cy="2938780"/>
            <wp:effectExtent l="0" t="0" r="2540" b="0"/>
            <wp:docPr id="1063447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447863" name="图片 1"/>
                    <pic:cNvPicPr>
                      <a:picLocks noChangeAspect="1"/>
                    </pic:cNvPicPr>
                  </pic:nvPicPr>
                  <pic:blipFill>
                    <a:blip r:embed="rId10"/>
                    <a:stretch>
                      <a:fillRect/>
                    </a:stretch>
                  </pic:blipFill>
                  <pic:spPr>
                    <a:xfrm>
                      <a:off x="0" y="0"/>
                      <a:ext cx="6188710" cy="2938780"/>
                    </a:xfrm>
                    <a:prstGeom prst="rect">
                      <a:avLst/>
                    </a:prstGeom>
                  </pic:spPr>
                </pic:pic>
              </a:graphicData>
            </a:graphic>
          </wp:inline>
        </w:drawing>
      </w:r>
    </w:p>
    <w:p w14:paraId="12FD9BEF">
      <w:pPr>
        <w:pStyle w:val="143"/>
        <w:rPr>
          <w:lang w:eastAsia="zh-CN"/>
        </w:rPr>
      </w:pPr>
      <w:r>
        <w:rPr>
          <w:rFonts w:hint="eastAsia"/>
          <w:lang w:eastAsia="zh-CN"/>
        </w:rPr>
        <w:t>来源：QYResearch 软件及商业服务研究中心</w:t>
      </w:r>
    </w:p>
    <w:p w14:paraId="720E31E2">
      <w:pPr>
        <w:pStyle w:val="148"/>
        <w:rPr>
          <w:lang w:eastAsia="zh-CN"/>
        </w:rPr>
      </w:pPr>
      <w:r>
        <w:rPr>
          <w:rFonts w:hint="eastAsia"/>
          <w:lang w:eastAsia="zh-CN"/>
        </w:rPr>
        <w:t>全球</w:t>
      </w:r>
      <w:r>
        <w:rPr>
          <w:lang w:eastAsia="zh-CN"/>
        </w:rPr>
        <w:t>生物危害和犯罪现场清理</w:t>
      </w:r>
      <w:r>
        <w:rPr>
          <w:rFonts w:hint="eastAsia"/>
          <w:lang w:eastAsia="zh-CN"/>
        </w:rPr>
        <w:t>市场前16强生产商排名及市场占有率（基于2024年调研数据；目前最新数据以本公司最新调研数据为准）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4114165" cy="5999480"/>
            <wp:effectExtent l="0" t="0" r="635" b="1270"/>
            <wp:docPr id="9436284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628491" name="图片 1"/>
                    <pic:cNvPicPr>
                      <a:picLocks noChangeAspect="1"/>
                    </pic:cNvPicPr>
                  </pic:nvPicPr>
                  <pic:blipFill>
                    <a:blip r:embed="rId11"/>
                    <a:stretch>
                      <a:fillRect/>
                    </a:stretch>
                  </pic:blipFill>
                  <pic:spPr>
                    <a:xfrm>
                      <a:off x="0" y="0"/>
                      <a:ext cx="4114286" cy="6000000"/>
                    </a:xfrm>
                    <a:prstGeom prst="rect">
                      <a:avLst/>
                    </a:prstGeom>
                  </pic:spPr>
                </pic:pic>
              </a:graphicData>
            </a:graphic>
          </wp:inline>
        </w:drawing>
      </w:r>
      <w:bookmarkStart w:id="17" w:name="_GoBack"/>
      <w:bookmarkEnd w:id="17"/>
    </w:p>
    <w:p w14:paraId="2B38D330">
      <w:pPr>
        <w:pStyle w:val="143"/>
        <w:rPr>
          <w:lang w:eastAsia="zh-CN"/>
        </w:rPr>
      </w:pPr>
      <w:r>
        <w:rPr>
          <w:rFonts w:hint="eastAsia"/>
          <w:lang w:eastAsia="zh-CN"/>
        </w:rPr>
        <w:t>来源：QYResearch 软件及商业服务研究中心。行业处于不断变动之中，最新数据请联系QYResearch咨询。</w:t>
      </w:r>
    </w:p>
    <w:p w14:paraId="168FA53B">
      <w:pPr>
        <w:pStyle w:val="143"/>
        <w:rPr>
          <w:i w:val="0"/>
          <w:sz w:val="21"/>
          <w:lang w:eastAsia="zh-CN"/>
        </w:rPr>
      </w:pPr>
      <w:r>
        <w:rPr>
          <w:rFonts w:hint="eastAsia"/>
          <w:i w:val="0"/>
          <w:sz w:val="21"/>
          <w:lang w:eastAsia="zh-CN"/>
        </w:rPr>
        <w:t>根据QYResearch头部企业研究中心调研，全球范围内生物危害和犯罪现场清理服务提供商主要包括SERVPRO、NCSC、Steri-Clean、Scene Clean、ServiceMaster BioClean、Spaulding Decon、Paul Davis、BioTechs、ServiceMaster Restore、BioteamAZ等。生物危害和犯罪现场清理服务提供商主要集中在北美、欧洲和亚洲。</w:t>
      </w:r>
    </w:p>
    <w:p w14:paraId="7E19C953">
      <w:pPr>
        <w:pStyle w:val="151"/>
        <w:rPr>
          <w:lang w:eastAsia="zh-CN"/>
        </w:rPr>
      </w:pPr>
      <w:r>
        <w:rPr>
          <w:lang w:eastAsia="zh-CN"/>
        </w:rPr>
        <w:t>生物危害和犯罪现场清理产业链分析</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717"/>
        <w:gridCol w:w="2757"/>
        <w:gridCol w:w="6488"/>
      </w:tblGrid>
      <w:tr w14:paraId="1AB5A2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solid" w:color="000080" w:fill="FFFFFF"/>
            <w:vAlign w:val="center"/>
          </w:tcPr>
          <w:p w14:paraId="3E4D731B">
            <w:pPr>
              <w:rPr>
                <w:rFonts w:cs="Times New Roman"/>
                <w:b w:val="0"/>
                <w:bCs w:val="0"/>
                <w:color w:val="FFFFFF"/>
                <w:kern w:val="0"/>
                <w:sz w:val="20"/>
                <w:szCs w:val="20"/>
              </w:rPr>
            </w:pPr>
          </w:p>
        </w:tc>
        <w:tc>
          <w:tcPr>
            <w:tcW w:w="1384" w:type="pct"/>
            <w:shd w:val="solid" w:color="000080" w:fill="FFFFFF"/>
            <w:vAlign w:val="center"/>
          </w:tcPr>
          <w:p w14:paraId="3C45B9B0">
            <w:pPr>
              <w:rPr>
                <w:rFonts w:cs="Times New Roman"/>
                <w:b/>
                <w:bCs/>
                <w:color w:val="FFFFFF"/>
                <w:kern w:val="0"/>
                <w:sz w:val="20"/>
                <w:szCs w:val="20"/>
              </w:rPr>
            </w:pPr>
            <w:r>
              <w:rPr>
                <w:rFonts w:hint="eastAsia" w:cs="Times New Roman"/>
                <w:b/>
                <w:bCs/>
                <w:color w:val="FFFFFF"/>
                <w:kern w:val="0"/>
                <w:sz w:val="20"/>
                <w:szCs w:val="20"/>
              </w:rPr>
              <w:t>产业</w:t>
            </w:r>
          </w:p>
        </w:tc>
        <w:tc>
          <w:tcPr>
            <w:tcW w:w="3256" w:type="pct"/>
            <w:shd w:val="solid" w:color="000080" w:fill="FFFFFF"/>
            <w:vAlign w:val="center"/>
          </w:tcPr>
          <w:p w14:paraId="59F15779">
            <w:pPr>
              <w:rPr>
                <w:rFonts w:cs="Times New Roman"/>
                <w:b w:val="0"/>
                <w:bCs w:val="0"/>
                <w:color w:val="FFFFFF"/>
                <w:kern w:val="0"/>
                <w:sz w:val="20"/>
                <w:szCs w:val="20"/>
              </w:rPr>
            </w:pPr>
            <w:r>
              <w:rPr>
                <w:rFonts w:hint="eastAsia" w:cs="Times New Roman"/>
                <w:b/>
                <w:bCs/>
                <w:color w:val="FFFFFF"/>
                <w:kern w:val="0"/>
                <w:sz w:val="20"/>
                <w:szCs w:val="20"/>
              </w:rPr>
              <w:t>描述</w:t>
            </w:r>
          </w:p>
        </w:tc>
      </w:tr>
      <w:tr w14:paraId="57A72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clear" w:color="auto" w:fill="auto"/>
            <w:vAlign w:val="center"/>
          </w:tcPr>
          <w:p w14:paraId="0E2EEA94">
            <w:pPr>
              <w:rPr>
                <w:rFonts w:cs="Times New Roman"/>
                <w:kern w:val="0"/>
                <w:sz w:val="20"/>
                <w:szCs w:val="20"/>
              </w:rPr>
            </w:pPr>
            <w:r>
              <w:rPr>
                <w:rFonts w:hint="eastAsia" w:cs="Times New Roman"/>
                <w:kern w:val="0"/>
                <w:sz w:val="20"/>
                <w:szCs w:val="20"/>
              </w:rPr>
              <w:t>上游</w:t>
            </w:r>
          </w:p>
        </w:tc>
        <w:tc>
          <w:tcPr>
            <w:tcW w:w="1384" w:type="pct"/>
            <w:shd w:val="clear" w:color="auto" w:fill="auto"/>
            <w:vAlign w:val="top"/>
          </w:tcPr>
          <w:p w14:paraId="38E9EE2F">
            <w:pPr>
              <w:rPr>
                <w:rFonts w:cs="Times New Roman"/>
                <w:kern w:val="0"/>
                <w:sz w:val="20"/>
                <w:szCs w:val="20"/>
              </w:rPr>
            </w:pPr>
            <w:r>
              <w:rPr>
                <w:rFonts w:hint="eastAsia" w:cs="Times New Roman"/>
                <w:kern w:val="0"/>
                <w:sz w:val="20"/>
                <w:szCs w:val="20"/>
              </w:rPr>
              <w:t>原材料及设备供应</w:t>
            </w:r>
          </w:p>
        </w:tc>
        <w:tc>
          <w:tcPr>
            <w:tcW w:w="3256" w:type="pct"/>
            <w:shd w:val="clear" w:color="auto" w:fill="auto"/>
            <w:vAlign w:val="top"/>
          </w:tcPr>
          <w:p w14:paraId="01634051">
            <w:pPr>
              <w:rPr>
                <w:rFonts w:ascii="Segoe UI" w:hAnsi="Segoe UI" w:cs="Segoe UI"/>
                <w:color w:val="000000"/>
                <w:kern w:val="0"/>
                <w:sz w:val="20"/>
                <w:szCs w:val="20"/>
              </w:rPr>
            </w:pPr>
            <w:r>
              <w:rPr>
                <w:rFonts w:hint="eastAsia" w:cs="Times New Roman"/>
                <w:kern w:val="0"/>
                <w:sz w:val="20"/>
                <w:szCs w:val="20"/>
              </w:rPr>
              <w:t>专注于提供清洁服务的核心资源。原材料包括生物消毒剂（含氯消毒剂、过氧乙酸）、个人防护装备（PPE：3/4级防护服、N95口罩、防化学防护镜）以及耗材（防泄漏生物危害袋、一次性清洁湿巾）。设备涵盖专业工具：生物危害吸尘器、高压灭菌喷雾器、微生物检测设备（用于清洁后验证）、危险废物焚烧/处置设备；技术支持（例如，生物降解技术、定制灭菌方案）。</w:t>
            </w:r>
          </w:p>
        </w:tc>
      </w:tr>
      <w:tr w14:paraId="54730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clear" w:color="auto" w:fill="auto"/>
            <w:vAlign w:val="center"/>
          </w:tcPr>
          <w:p w14:paraId="278C9C32">
            <w:pPr>
              <w:rPr>
                <w:rFonts w:cs="Times New Roman"/>
                <w:kern w:val="0"/>
                <w:sz w:val="20"/>
                <w:szCs w:val="20"/>
              </w:rPr>
            </w:pPr>
            <w:r>
              <w:rPr>
                <w:rFonts w:hint="eastAsia" w:cs="Times New Roman"/>
                <w:kern w:val="0"/>
                <w:sz w:val="20"/>
                <w:szCs w:val="20"/>
              </w:rPr>
              <w:t>中游</w:t>
            </w:r>
          </w:p>
        </w:tc>
        <w:tc>
          <w:tcPr>
            <w:tcW w:w="1384" w:type="pct"/>
            <w:shd w:val="clear" w:color="auto" w:fill="auto"/>
            <w:vAlign w:val="top"/>
          </w:tcPr>
          <w:p w14:paraId="5850EAC0">
            <w:pPr>
              <w:rPr>
                <w:rFonts w:cs="Times New Roman"/>
                <w:kern w:val="0"/>
                <w:sz w:val="20"/>
                <w:szCs w:val="20"/>
              </w:rPr>
            </w:pPr>
            <w:r>
              <w:rPr>
                <w:rFonts w:hint="eastAsia" w:cs="Times New Roman"/>
                <w:kern w:val="0"/>
                <w:sz w:val="20"/>
                <w:szCs w:val="20"/>
              </w:rPr>
              <w:t>服务商及运营</w:t>
            </w:r>
          </w:p>
        </w:tc>
        <w:tc>
          <w:tcPr>
            <w:tcW w:w="3256" w:type="pct"/>
            <w:shd w:val="clear" w:color="auto" w:fill="auto"/>
            <w:vAlign w:val="top"/>
          </w:tcPr>
          <w:p w14:paraId="334AB79E">
            <w:pPr>
              <w:rPr>
                <w:rFonts w:cs="Times New Roman"/>
                <w:kern w:val="0"/>
                <w:sz w:val="20"/>
                <w:szCs w:val="20"/>
              </w:rPr>
            </w:pPr>
            <w:r>
              <w:rPr>
                <w:rFonts w:hint="eastAsia" w:cs="Times New Roman"/>
                <w:kern w:val="0"/>
                <w:sz w:val="20"/>
                <w:szCs w:val="20"/>
              </w:rPr>
              <w:t>行业核心环节，主要由专业的清洁服务实体组成。服务包括四个关键步骤：现场调查（评估生物危害程度，识别污染区域）、标准化清理（清除血液、体液、有毒物质，并对表面进行去污处理）、合规废物处置（根据环境/医疗废物法规将危险废物包装并运输至合格设施）以及清理后验证（检测残留微生物/毒素，确保符合安全标准）。对中游企业的关键要求：拥有专业认证（例如，HAZMAT、生物安全认证）和快速应急响应能力。</w:t>
            </w:r>
          </w:p>
        </w:tc>
      </w:tr>
      <w:tr w14:paraId="7CFA19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360" w:type="pct"/>
            <w:shd w:val="clear" w:color="auto" w:fill="auto"/>
            <w:vAlign w:val="center"/>
          </w:tcPr>
          <w:p w14:paraId="7F9A8527">
            <w:pPr>
              <w:rPr>
                <w:rFonts w:cs="Times New Roman"/>
                <w:kern w:val="0"/>
                <w:sz w:val="20"/>
                <w:szCs w:val="20"/>
              </w:rPr>
            </w:pPr>
            <w:r>
              <w:rPr>
                <w:rFonts w:hint="eastAsia" w:cs="Times New Roman"/>
                <w:kern w:val="0"/>
                <w:sz w:val="20"/>
                <w:szCs w:val="20"/>
              </w:rPr>
              <w:t>下游</w:t>
            </w:r>
          </w:p>
        </w:tc>
        <w:tc>
          <w:tcPr>
            <w:tcW w:w="1384" w:type="pct"/>
            <w:shd w:val="clear" w:color="auto" w:fill="auto"/>
            <w:vAlign w:val="top"/>
          </w:tcPr>
          <w:p w14:paraId="65F31FC7">
            <w:pPr>
              <w:rPr>
                <w:rFonts w:cs="Times New Roman"/>
                <w:kern w:val="0"/>
                <w:sz w:val="20"/>
                <w:szCs w:val="20"/>
              </w:rPr>
            </w:pPr>
            <w:r>
              <w:rPr>
                <w:rFonts w:hint="eastAsia" w:cs="Times New Roman"/>
                <w:kern w:val="0"/>
                <w:sz w:val="20"/>
                <w:szCs w:val="20"/>
              </w:rPr>
              <w:t>需求主体及场景</w:t>
            </w:r>
          </w:p>
        </w:tc>
        <w:tc>
          <w:tcPr>
            <w:tcW w:w="3256" w:type="pct"/>
            <w:shd w:val="clear" w:color="auto" w:fill="auto"/>
            <w:vAlign w:val="top"/>
          </w:tcPr>
          <w:p w14:paraId="3B1703D0">
            <w:pPr>
              <w:rPr>
                <w:rFonts w:ascii="Segoe UI" w:hAnsi="Segoe UI" w:cs="Segoe UI"/>
                <w:color w:val="000000"/>
                <w:kern w:val="0"/>
                <w:sz w:val="20"/>
                <w:szCs w:val="20"/>
              </w:rPr>
            </w:pPr>
            <w:r>
              <w:rPr>
                <w:rFonts w:hint="eastAsia" w:cs="Times New Roman"/>
                <w:kern w:val="0"/>
                <w:sz w:val="20"/>
                <w:szCs w:val="20"/>
              </w:rPr>
              <w:t>服务覆盖所有有生物危害/犯罪现场清理需求的各方。主要需求方包括：政府/公共部门（犯罪/事故现场的警察、疫情相关污染的疾控中心、危险物质泄漏的消防部门）；医疗机构（医院的生物危害废物清理、污染病房消毒）；企业/组织（生物安全事故的实验室、食品厂）；以及个人客户（家庭事故现场，例如，意外死亡、化学品泄漏）。需求是由公众安全意识的提高和更严格的环境/健康法规推动的。</w:t>
            </w:r>
          </w:p>
        </w:tc>
      </w:tr>
    </w:tbl>
    <w:p w14:paraId="5683A0C8">
      <w:pPr>
        <w:pStyle w:val="143"/>
        <w:rPr>
          <w:lang w:eastAsia="zh-CN"/>
        </w:rPr>
      </w:pPr>
      <w:r>
        <w:rPr>
          <w:rFonts w:hint="eastAsia"/>
          <w:lang w:eastAsia="zh-CN"/>
        </w:rPr>
        <w:t>资料来源：第三方资料、新闻报道、业内专家采访及QYResearch整理研究，2025年</w:t>
      </w:r>
    </w:p>
    <w:p w14:paraId="51F33C98">
      <w:pPr>
        <w:pStyle w:val="151"/>
        <w:widowControl w:val="0"/>
        <w:ind w:left="252" w:leftChars="-50" w:right="-105" w:rightChars="-50" w:hanging="357"/>
        <w:rPr>
          <w:lang w:eastAsia="zh-CN"/>
        </w:rPr>
      </w:pPr>
      <w:bookmarkStart w:id="14" w:name="_Toc60772837"/>
      <w:bookmarkStart w:id="15" w:name="_Toc207814809"/>
      <w:r>
        <w:rPr>
          <w:lang w:eastAsia="zh-CN"/>
        </w:rPr>
        <w:t>生物危害和犯罪现场清理</w:t>
      </w:r>
      <w:r>
        <w:rPr>
          <w:rFonts w:hint="eastAsia"/>
          <w:lang w:eastAsia="zh-CN"/>
        </w:rPr>
        <w:t>行业政策分析</w:t>
      </w:r>
      <w:bookmarkEnd w:id="14"/>
      <w:bookmarkEnd w:id="15"/>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437"/>
        <w:gridCol w:w="7067"/>
      </w:tblGrid>
      <w:tr w14:paraId="7E00D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B6884BB">
            <w:pPr>
              <w:rPr>
                <w:rFonts w:cs="Times New Roman"/>
                <w:b w:val="0"/>
                <w:bCs w:val="0"/>
                <w:color w:val="FFFFFF"/>
                <w:kern w:val="0"/>
                <w:sz w:val="20"/>
                <w:szCs w:val="20"/>
              </w:rPr>
            </w:pPr>
          </w:p>
        </w:tc>
        <w:tc>
          <w:tcPr>
            <w:tcW w:w="1223" w:type="pct"/>
            <w:shd w:val="solid" w:color="000080" w:fill="FFFFFF"/>
            <w:vAlign w:val="center"/>
          </w:tcPr>
          <w:p w14:paraId="73B90140">
            <w:pPr>
              <w:rPr>
                <w:rFonts w:cs="Times New Roman"/>
                <w:b w:val="0"/>
                <w:bCs w:val="0"/>
                <w:color w:val="FFFFFF"/>
                <w:kern w:val="0"/>
                <w:sz w:val="20"/>
                <w:szCs w:val="20"/>
              </w:rPr>
            </w:pPr>
            <w:r>
              <w:rPr>
                <w:rFonts w:hint="eastAsia" w:cs="Times New Roman"/>
                <w:b/>
                <w:bCs/>
                <w:color w:val="FFFFFF"/>
                <w:kern w:val="0"/>
                <w:sz w:val="20"/>
                <w:szCs w:val="20"/>
              </w:rPr>
              <w:t>政策</w:t>
            </w:r>
          </w:p>
        </w:tc>
        <w:tc>
          <w:tcPr>
            <w:tcW w:w="3547" w:type="pct"/>
            <w:shd w:val="solid" w:color="000080" w:fill="FFFFFF"/>
            <w:vAlign w:val="center"/>
          </w:tcPr>
          <w:p w14:paraId="1B71F641">
            <w:pPr>
              <w:rPr>
                <w:rFonts w:cs="Times New Roman"/>
                <w:b w:val="0"/>
                <w:bCs w:val="0"/>
                <w:color w:val="FFFFFF"/>
                <w:kern w:val="0"/>
                <w:sz w:val="20"/>
                <w:szCs w:val="20"/>
              </w:rPr>
            </w:pPr>
            <w:r>
              <w:rPr>
                <w:rFonts w:hint="eastAsia" w:cs="Times New Roman"/>
                <w:b/>
                <w:bCs/>
                <w:color w:val="FFFFFF"/>
                <w:kern w:val="0"/>
                <w:sz w:val="20"/>
                <w:szCs w:val="20"/>
              </w:rPr>
              <w:t>描述</w:t>
            </w:r>
          </w:p>
        </w:tc>
      </w:tr>
      <w:tr w14:paraId="3CFC7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0EFED34">
            <w:pPr>
              <w:rPr>
                <w:rFonts w:cs="Times New Roman"/>
                <w:kern w:val="0"/>
                <w:sz w:val="20"/>
                <w:szCs w:val="20"/>
              </w:rPr>
            </w:pPr>
            <w:r>
              <w:rPr>
                <w:rFonts w:hint="eastAsia" w:cs="Times New Roman"/>
                <w:kern w:val="0"/>
                <w:sz w:val="20"/>
                <w:szCs w:val="20"/>
              </w:rPr>
              <w:t>1</w:t>
            </w:r>
          </w:p>
        </w:tc>
        <w:tc>
          <w:tcPr>
            <w:tcW w:w="1223" w:type="pct"/>
            <w:shd w:val="clear" w:color="auto" w:fill="auto"/>
            <w:vAlign w:val="top"/>
          </w:tcPr>
          <w:p w14:paraId="0F6B90C7">
            <w:pPr>
              <w:rPr>
                <w:rFonts w:cs="Times New Roman"/>
                <w:kern w:val="0"/>
                <w:sz w:val="20"/>
                <w:szCs w:val="20"/>
              </w:rPr>
            </w:pPr>
            <w:r>
              <w:rPr>
                <w:rFonts w:hint="eastAsia" w:cs="Times New Roman"/>
                <w:kern w:val="0"/>
                <w:sz w:val="20"/>
                <w:szCs w:val="20"/>
              </w:rPr>
              <w:t>北美（美国和加拿大）：合规要求和激励措施</w:t>
            </w:r>
          </w:p>
        </w:tc>
        <w:tc>
          <w:tcPr>
            <w:tcW w:w="3547" w:type="pct"/>
            <w:shd w:val="clear" w:color="auto" w:fill="auto"/>
            <w:vAlign w:val="top"/>
          </w:tcPr>
          <w:p w14:paraId="2C9DCE34">
            <w:pPr>
              <w:rPr>
                <w:rFonts w:cs="Times New Roman"/>
                <w:kern w:val="0"/>
                <w:sz w:val="20"/>
                <w:szCs w:val="20"/>
              </w:rPr>
            </w:pPr>
            <w:r>
              <w:rPr>
                <w:rFonts w:hint="eastAsia" w:cs="Times New Roman"/>
                <w:kern w:val="0"/>
                <w:sz w:val="20"/>
                <w:szCs w:val="20"/>
              </w:rPr>
              <w:t>美国职业安全与健康管理局 (OSHA) 强制要求工人进行血源性病原体培训（根据 1910.1030）并遵守个人防护装备 (PPE) 标准（四级防护服、N95 口罩），不合规将被处以罚款。美国环境保护署 (EPA)（通过《资源保护与回收法案》(RCRA)）和美国交通部 (DOT) 负责监管废物运输——DOT 要求对传染性物质进行散装包装并进行危险公示，而加州则要求服务提供商获得创伤现场废物 (TSW) 许可证。加拿大的《环境影响评估法》(CEPA) 与美国标准一致，两国都要求获得 ABRA/HAZMAT 认证。联邦紧急事务管理局 (FEMA) 为灾难清理提供补助（例如，每户 300 美元用于野火后消毒），以补充以合规为重点的政策。</w:t>
            </w:r>
          </w:p>
        </w:tc>
      </w:tr>
      <w:tr w14:paraId="17531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B804ABE">
            <w:pPr>
              <w:rPr>
                <w:rFonts w:cs="Times New Roman"/>
                <w:kern w:val="0"/>
                <w:sz w:val="20"/>
                <w:szCs w:val="20"/>
              </w:rPr>
            </w:pPr>
            <w:r>
              <w:rPr>
                <w:rFonts w:hint="eastAsia" w:cs="Times New Roman"/>
                <w:kern w:val="0"/>
                <w:sz w:val="20"/>
                <w:szCs w:val="20"/>
              </w:rPr>
              <w:t>2</w:t>
            </w:r>
          </w:p>
        </w:tc>
        <w:tc>
          <w:tcPr>
            <w:tcW w:w="1223" w:type="pct"/>
            <w:shd w:val="clear" w:color="auto" w:fill="auto"/>
            <w:vAlign w:val="top"/>
          </w:tcPr>
          <w:p w14:paraId="43C02A26">
            <w:pPr>
              <w:rPr>
                <w:rFonts w:cs="Times New Roman"/>
                <w:kern w:val="0"/>
                <w:sz w:val="20"/>
                <w:szCs w:val="20"/>
              </w:rPr>
            </w:pPr>
            <w:r>
              <w:rPr>
                <w:rFonts w:hint="eastAsia" w:cs="Times New Roman"/>
                <w:kern w:val="0"/>
                <w:sz w:val="20"/>
                <w:szCs w:val="20"/>
              </w:rPr>
              <w:t>欧洲：化学品监管和循环经济规则</w:t>
            </w:r>
          </w:p>
        </w:tc>
        <w:tc>
          <w:tcPr>
            <w:tcW w:w="3547" w:type="pct"/>
            <w:shd w:val="clear" w:color="auto" w:fill="auto"/>
            <w:vAlign w:val="top"/>
          </w:tcPr>
          <w:p w14:paraId="3E1DC673">
            <w:pPr>
              <w:rPr>
                <w:rFonts w:cs="Times New Roman"/>
                <w:kern w:val="0"/>
                <w:sz w:val="20"/>
                <w:szCs w:val="20"/>
              </w:rPr>
            </w:pPr>
            <w:r>
              <w:rPr>
                <w:rFonts w:hint="eastAsia" w:cs="Times New Roman"/>
                <w:kern w:val="0"/>
                <w:sz w:val="20"/>
                <w:szCs w:val="20"/>
              </w:rPr>
              <w:t>欧盟生物制品和污染控制 (BPR) 法规要求欧洲化学品管理局 (ECHA) 对消毒剂活性成分（例如苯甲酸钠）进行安全性评估，从而延迟不合规产品的市场准入。 2024年修订的《废物框架指令》要求到2030年将人均食物垃圾减少40%，这间接推动了环保清洁技术的发展。EN 14126标准设定了个人防护装备（PPE）的耐用性标准，德国TÜV认证机构则强制要求在清洁后进行微生物检测。到2025年，生产者责任延伸计划（EPR）将纺织品/消费品的处置成本转移给制造商。</w:t>
            </w:r>
          </w:p>
        </w:tc>
      </w:tr>
      <w:tr w14:paraId="635A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282C2FE">
            <w:pPr>
              <w:rPr>
                <w:rFonts w:cs="Times New Roman"/>
                <w:kern w:val="0"/>
                <w:sz w:val="20"/>
                <w:szCs w:val="20"/>
              </w:rPr>
            </w:pPr>
            <w:r>
              <w:rPr>
                <w:rFonts w:hint="eastAsia" w:cs="Times New Roman"/>
                <w:kern w:val="0"/>
                <w:sz w:val="20"/>
                <w:szCs w:val="20"/>
              </w:rPr>
              <w:t>3</w:t>
            </w:r>
          </w:p>
        </w:tc>
        <w:tc>
          <w:tcPr>
            <w:tcW w:w="1223" w:type="pct"/>
            <w:shd w:val="clear" w:color="auto" w:fill="auto"/>
            <w:vAlign w:val="top"/>
          </w:tcPr>
          <w:p w14:paraId="3D7F4551">
            <w:pPr>
              <w:rPr>
                <w:rFonts w:cs="Times New Roman"/>
                <w:kern w:val="0"/>
                <w:sz w:val="20"/>
                <w:szCs w:val="20"/>
              </w:rPr>
            </w:pPr>
            <w:r>
              <w:rPr>
                <w:rFonts w:hint="eastAsia" w:cs="Times New Roman"/>
                <w:kern w:val="0"/>
                <w:sz w:val="20"/>
                <w:szCs w:val="20"/>
              </w:rPr>
              <w:t>中国：数字化监管和分级标准</w:t>
            </w:r>
          </w:p>
        </w:tc>
        <w:tc>
          <w:tcPr>
            <w:tcW w:w="3547" w:type="pct"/>
            <w:shd w:val="clear" w:color="auto" w:fill="auto"/>
            <w:vAlign w:val="top"/>
          </w:tcPr>
          <w:p w14:paraId="5693135C">
            <w:pPr>
              <w:rPr>
                <w:rFonts w:cs="Times New Roman"/>
                <w:kern w:val="0"/>
                <w:sz w:val="20"/>
                <w:szCs w:val="20"/>
              </w:rPr>
            </w:pPr>
            <w:r>
              <w:rPr>
                <w:rFonts w:hint="eastAsia" w:cs="Times New Roman"/>
                <w:kern w:val="0"/>
                <w:sz w:val="20"/>
                <w:szCs w:val="20"/>
              </w:rPr>
              <w:t>《医疗废物管理条例》将生物危害分为五类，要求储存期限为48小时，并配备GPS跟踪运输。新冠疫情过后，“COVID-19 BWM”应用程序可追踪垃圾从收集到焚烧的全过程，而国家卫生健康委员会则要求公共区域消毒的氯含量≥500毫克/升。农村地区允许现场焚烧无害废物，但城市地区则需要获得许可才能处置。地方政府（例如上海市）为应急小组提供资金，但执法力度因地区而异。</w:t>
            </w:r>
          </w:p>
        </w:tc>
      </w:tr>
    </w:tbl>
    <w:p w14:paraId="1A1ED0DB">
      <w:pPr>
        <w:pStyle w:val="143"/>
        <w:rPr>
          <w:lang w:eastAsia="zh-CN"/>
        </w:rPr>
      </w:pPr>
      <w:r>
        <w:rPr>
          <w:rFonts w:hint="eastAsia"/>
          <w:lang w:eastAsia="zh-CN"/>
        </w:rPr>
        <w:t>资料来源：第三方资料、新闻报道、业内专家采访及QYResearch整理研究，2025年</w:t>
      </w:r>
      <w:bookmarkStart w:id="16" w:name="_Toc207814808"/>
    </w:p>
    <w:p w14:paraId="4B7DF85B">
      <w:pPr>
        <w:pStyle w:val="151"/>
        <w:rPr>
          <w:lang w:eastAsia="zh-CN"/>
        </w:rPr>
      </w:pPr>
      <w:r>
        <w:rPr>
          <w:lang w:eastAsia="zh-CN"/>
        </w:rPr>
        <w:t>生物危害和犯罪现场清理</w:t>
      </w:r>
      <w:r>
        <w:rPr>
          <w:rFonts w:hint="eastAsia"/>
          <w:lang w:eastAsia="zh-CN"/>
        </w:rPr>
        <w:t>行业发展</w:t>
      </w:r>
      <w:bookmarkEnd w:id="16"/>
      <w:r>
        <w:rPr>
          <w:rFonts w:hint="eastAsia"/>
          <w:lang w:eastAsia="zh-CN"/>
        </w:rPr>
        <w:t>趋势</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54343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AAD9353">
            <w:pPr>
              <w:rPr>
                <w:rFonts w:cs="Times New Roman"/>
                <w:b w:val="0"/>
                <w:bCs w:val="0"/>
                <w:color w:val="FFFFFF"/>
                <w:kern w:val="0"/>
                <w:sz w:val="20"/>
                <w:szCs w:val="20"/>
              </w:rPr>
            </w:pPr>
          </w:p>
        </w:tc>
        <w:tc>
          <w:tcPr>
            <w:tcW w:w="891" w:type="pct"/>
            <w:shd w:val="solid" w:color="000080" w:fill="FFFFFF"/>
            <w:vAlign w:val="center"/>
          </w:tcPr>
          <w:p w14:paraId="2FF9AFF2">
            <w:pPr>
              <w:rPr>
                <w:rFonts w:cs="Times New Roman"/>
                <w:b w:val="0"/>
                <w:bCs w:val="0"/>
                <w:color w:val="FFFFFF"/>
                <w:kern w:val="0"/>
                <w:sz w:val="20"/>
                <w:szCs w:val="20"/>
              </w:rPr>
            </w:pPr>
            <w:r>
              <w:rPr>
                <w:rFonts w:hint="eastAsia" w:cs="Times New Roman"/>
                <w:b/>
                <w:bCs/>
                <w:color w:val="FFFFFF"/>
                <w:kern w:val="0"/>
                <w:sz w:val="20"/>
                <w:szCs w:val="20"/>
              </w:rPr>
              <w:t>发展趋势</w:t>
            </w:r>
          </w:p>
        </w:tc>
        <w:tc>
          <w:tcPr>
            <w:tcW w:w="3879" w:type="pct"/>
            <w:shd w:val="solid" w:color="000080" w:fill="FFFFFF"/>
            <w:vAlign w:val="center"/>
          </w:tcPr>
          <w:p w14:paraId="18DF93C2">
            <w:pPr>
              <w:rPr>
                <w:rFonts w:cs="Times New Roman"/>
                <w:b w:val="0"/>
                <w:bCs w:val="0"/>
                <w:color w:val="FFFFFF"/>
                <w:kern w:val="0"/>
                <w:sz w:val="20"/>
                <w:szCs w:val="20"/>
              </w:rPr>
            </w:pPr>
            <w:r>
              <w:rPr>
                <w:rFonts w:hint="eastAsia" w:cs="Times New Roman"/>
                <w:b/>
                <w:bCs/>
                <w:color w:val="FFFFFF"/>
                <w:kern w:val="0"/>
                <w:sz w:val="20"/>
                <w:szCs w:val="20"/>
              </w:rPr>
              <w:t>描述</w:t>
            </w:r>
          </w:p>
        </w:tc>
      </w:tr>
      <w:tr w14:paraId="5BDA0E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381BDB8">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535838E6">
            <w:pPr>
              <w:jc w:val="left"/>
              <w:rPr>
                <w:rFonts w:cs="Times New Roman"/>
                <w:kern w:val="0"/>
                <w:sz w:val="20"/>
                <w:szCs w:val="20"/>
              </w:rPr>
            </w:pPr>
            <w:r>
              <w:rPr>
                <w:rFonts w:hint="eastAsia" w:cs="Times New Roman"/>
                <w:kern w:val="0"/>
                <w:sz w:val="20"/>
                <w:szCs w:val="20"/>
              </w:rPr>
              <w:t>技术升级：高效精准的清理工具</w:t>
            </w:r>
          </w:p>
        </w:tc>
        <w:tc>
          <w:tcPr>
            <w:tcW w:w="3879" w:type="pct"/>
            <w:shd w:val="clear" w:color="auto" w:fill="auto"/>
            <w:vAlign w:val="top"/>
          </w:tcPr>
          <w:p w14:paraId="7A8BAF89">
            <w:pPr>
              <w:rPr>
                <w:rFonts w:cs="Times New Roman"/>
                <w:kern w:val="0"/>
                <w:sz w:val="20"/>
                <w:szCs w:val="20"/>
              </w:rPr>
            </w:pPr>
            <w:r>
              <w:rPr>
                <w:rFonts w:hint="eastAsia" w:cs="Times New Roman"/>
                <w:kern w:val="0"/>
                <w:sz w:val="20"/>
                <w:szCs w:val="20"/>
              </w:rPr>
              <w:t>智能消毒设备（例如，人工智能静电喷雾器）的覆盖率较人工方法提高30%；快速微生物检测仪（便携式ATP检测仪）将清洁后验证时间从24小时缩短至15分钟，提升服务效率。</w:t>
            </w:r>
          </w:p>
        </w:tc>
      </w:tr>
      <w:tr w14:paraId="59756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750935">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3FEF2333">
            <w:pPr>
              <w:jc w:val="left"/>
              <w:rPr>
                <w:rFonts w:cs="Times New Roman"/>
                <w:kern w:val="0"/>
                <w:sz w:val="20"/>
                <w:szCs w:val="20"/>
              </w:rPr>
            </w:pPr>
            <w:r>
              <w:rPr>
                <w:rFonts w:hint="eastAsia" w:cs="Times New Roman"/>
                <w:kern w:val="0"/>
                <w:sz w:val="20"/>
                <w:szCs w:val="20"/>
              </w:rPr>
              <w:t>服务扩展：超越传统场景</w:t>
            </w:r>
          </w:p>
        </w:tc>
        <w:tc>
          <w:tcPr>
            <w:tcW w:w="3879" w:type="pct"/>
            <w:shd w:val="clear" w:color="auto" w:fill="auto"/>
            <w:vAlign w:val="top"/>
          </w:tcPr>
          <w:p w14:paraId="54263969">
            <w:pPr>
              <w:rPr>
                <w:rFonts w:cs="Times New Roman"/>
                <w:kern w:val="0"/>
                <w:sz w:val="20"/>
                <w:szCs w:val="20"/>
              </w:rPr>
            </w:pPr>
            <w:r>
              <w:rPr>
                <w:rFonts w:hint="eastAsia" w:cs="Times New Roman"/>
                <w:kern w:val="0"/>
                <w:sz w:val="20"/>
                <w:szCs w:val="20"/>
              </w:rPr>
              <w:t>需求从犯罪/医疗现场延伸到公共卫生紧急事件（例如，疫情后公共场所的消毒）、工业生物泄漏（实验室化学品泄漏）以及家庭意外（例如，霉菌滋生），市场规模每年扩大15-20%。</w:t>
            </w:r>
          </w:p>
        </w:tc>
      </w:tr>
      <w:tr w14:paraId="3D628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372FC7">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6B30A162">
            <w:pPr>
              <w:jc w:val="left"/>
              <w:rPr>
                <w:rFonts w:cs="Times New Roman"/>
                <w:kern w:val="0"/>
                <w:sz w:val="20"/>
                <w:szCs w:val="20"/>
              </w:rPr>
            </w:pPr>
            <w:r>
              <w:rPr>
                <w:rFonts w:hint="eastAsia" w:cs="Times New Roman"/>
                <w:kern w:val="0"/>
                <w:sz w:val="20"/>
                <w:szCs w:val="20"/>
              </w:rPr>
              <w:t>合规与标准化：全球规范接轨</w:t>
            </w:r>
          </w:p>
        </w:tc>
        <w:tc>
          <w:tcPr>
            <w:tcW w:w="3879" w:type="pct"/>
            <w:shd w:val="clear" w:color="auto" w:fill="auto"/>
            <w:vAlign w:val="top"/>
          </w:tcPr>
          <w:p w14:paraId="43AC205E">
            <w:pPr>
              <w:rPr>
                <w:rFonts w:cs="Times New Roman"/>
                <w:kern w:val="0"/>
                <w:sz w:val="20"/>
                <w:szCs w:val="20"/>
              </w:rPr>
            </w:pPr>
            <w:r>
              <w:rPr>
                <w:rFonts w:hint="eastAsia" w:cs="Times New Roman"/>
                <w:kern w:val="0"/>
                <w:sz w:val="20"/>
                <w:szCs w:val="20"/>
              </w:rPr>
              <w:t>更多地区采用ISO 15190（清洁/消毒标准）和强制性认证（例如，美国ABRA、欧盟TÜV）；跨境服务提供商优先考虑统一的合规体系，以降低15-25%的跨区域运营成本。</w:t>
            </w:r>
          </w:p>
        </w:tc>
      </w:tr>
      <w:tr w14:paraId="4AFE2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2406A4">
            <w:pPr>
              <w:rPr>
                <w:rFonts w:cs="Times New Roman"/>
                <w:kern w:val="0"/>
                <w:sz w:val="20"/>
                <w:szCs w:val="20"/>
              </w:rPr>
            </w:pPr>
            <w:r>
              <w:rPr>
                <w:rFonts w:hint="eastAsia" w:cs="Times New Roman"/>
                <w:kern w:val="0"/>
                <w:sz w:val="20"/>
                <w:szCs w:val="20"/>
              </w:rPr>
              <w:t>4</w:t>
            </w:r>
          </w:p>
        </w:tc>
        <w:tc>
          <w:tcPr>
            <w:tcW w:w="891" w:type="pct"/>
            <w:shd w:val="clear" w:color="auto" w:fill="auto"/>
            <w:vAlign w:val="top"/>
          </w:tcPr>
          <w:p w14:paraId="0C1F73DC">
            <w:pPr>
              <w:jc w:val="left"/>
              <w:rPr>
                <w:rFonts w:cs="Times New Roman"/>
                <w:kern w:val="0"/>
                <w:sz w:val="20"/>
                <w:szCs w:val="20"/>
              </w:rPr>
            </w:pPr>
            <w:r>
              <w:rPr>
                <w:rFonts w:hint="eastAsia" w:cs="Times New Roman"/>
                <w:kern w:val="0"/>
                <w:sz w:val="20"/>
                <w:szCs w:val="20"/>
              </w:rPr>
              <w:t>绿色清理：环保材料与工艺</w:t>
            </w:r>
          </w:p>
        </w:tc>
        <w:tc>
          <w:tcPr>
            <w:tcW w:w="3879" w:type="pct"/>
            <w:shd w:val="clear" w:color="auto" w:fill="auto"/>
            <w:vAlign w:val="top"/>
          </w:tcPr>
          <w:p w14:paraId="2DAC6DD4">
            <w:pPr>
              <w:rPr>
                <w:rFonts w:cs="Times New Roman"/>
                <w:kern w:val="0"/>
                <w:sz w:val="20"/>
                <w:szCs w:val="20"/>
              </w:rPr>
            </w:pPr>
            <w:r>
              <w:rPr>
                <w:rFonts w:hint="eastAsia" w:cs="Times New Roman"/>
                <w:kern w:val="0"/>
                <w:sz w:val="20"/>
                <w:szCs w:val="20"/>
              </w:rPr>
              <w:t>可生物降解消毒剂（植物基季铵盐）取代化学消毒剂，减少二次污染；可回收的 PPE（可重复使用的 3 级防护服）和废物转化为能源的处理（针对非传染性废物）符合全球碳中和目标。</w:t>
            </w:r>
          </w:p>
        </w:tc>
      </w:tr>
    </w:tbl>
    <w:p w14:paraId="2BBC9B45">
      <w:pPr>
        <w:pStyle w:val="143"/>
        <w:rPr>
          <w:lang w:eastAsia="zh-CN"/>
        </w:rPr>
      </w:pPr>
      <w:r>
        <w:rPr>
          <w:rFonts w:hint="eastAsia"/>
          <w:lang w:eastAsia="zh-CN"/>
        </w:rPr>
        <w:t>资料来源：第三方资料、新闻报道、业内专家采访及QYResearch整理研究，2025年</w:t>
      </w:r>
    </w:p>
    <w:p w14:paraId="64C1AE96">
      <w:pPr>
        <w:pStyle w:val="151"/>
        <w:rPr>
          <w:lang w:eastAsia="zh-CN"/>
        </w:rPr>
      </w:pPr>
      <w:r>
        <w:rPr>
          <w:lang w:eastAsia="zh-CN"/>
        </w:rPr>
        <w:t>生物危害和犯罪现场清理</w:t>
      </w:r>
      <w:r>
        <w:rPr>
          <w:rFonts w:hint="eastAsia"/>
          <w:lang w:eastAsia="zh-CN"/>
        </w:rPr>
        <w:t>行业发展机会</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03B74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solid" w:color="000080" w:fill="FFFFFF"/>
            <w:vAlign w:val="center"/>
          </w:tcPr>
          <w:p w14:paraId="75539F62">
            <w:pPr>
              <w:rPr>
                <w:rFonts w:cs="Times New Roman"/>
                <w:b w:val="0"/>
                <w:bCs w:val="0"/>
                <w:color w:val="FFFFFF"/>
                <w:kern w:val="0"/>
                <w:sz w:val="20"/>
                <w:szCs w:val="20"/>
              </w:rPr>
            </w:pPr>
          </w:p>
        </w:tc>
        <w:tc>
          <w:tcPr>
            <w:tcW w:w="891" w:type="pct"/>
            <w:shd w:val="solid" w:color="000080" w:fill="FFFFFF"/>
            <w:vAlign w:val="center"/>
          </w:tcPr>
          <w:p w14:paraId="24166C36">
            <w:pPr>
              <w:rPr>
                <w:rFonts w:cs="Times New Roman"/>
                <w:b w:val="0"/>
                <w:bCs w:val="0"/>
                <w:color w:val="FFFFFF"/>
                <w:kern w:val="0"/>
                <w:sz w:val="20"/>
                <w:szCs w:val="20"/>
              </w:rPr>
            </w:pPr>
            <w:r>
              <w:rPr>
                <w:rFonts w:hint="eastAsia" w:cs="Times New Roman"/>
                <w:b/>
                <w:bCs/>
                <w:color w:val="FFFFFF"/>
                <w:kern w:val="0"/>
                <w:sz w:val="20"/>
                <w:szCs w:val="20"/>
              </w:rPr>
              <w:t>发展机会</w:t>
            </w:r>
          </w:p>
        </w:tc>
        <w:tc>
          <w:tcPr>
            <w:tcW w:w="3879" w:type="pct"/>
            <w:shd w:val="solid" w:color="000080" w:fill="FFFFFF"/>
            <w:vAlign w:val="center"/>
          </w:tcPr>
          <w:p w14:paraId="0B4225F8">
            <w:pPr>
              <w:rPr>
                <w:rFonts w:cs="Times New Roman"/>
                <w:b w:val="0"/>
                <w:bCs w:val="0"/>
                <w:color w:val="FFFFFF"/>
                <w:kern w:val="0"/>
                <w:sz w:val="20"/>
                <w:szCs w:val="20"/>
              </w:rPr>
            </w:pPr>
            <w:r>
              <w:rPr>
                <w:rFonts w:hint="eastAsia" w:cs="Times New Roman"/>
                <w:b/>
                <w:bCs/>
                <w:color w:val="FFFFFF"/>
                <w:kern w:val="0"/>
                <w:sz w:val="20"/>
                <w:szCs w:val="20"/>
              </w:rPr>
              <w:t>描述</w:t>
            </w:r>
          </w:p>
        </w:tc>
      </w:tr>
      <w:tr w14:paraId="3595D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2341AC">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6B9B329B">
            <w:pPr>
              <w:rPr>
                <w:rFonts w:cs="Times New Roman"/>
                <w:kern w:val="0"/>
                <w:sz w:val="20"/>
                <w:szCs w:val="20"/>
              </w:rPr>
            </w:pPr>
            <w:r>
              <w:rPr>
                <w:rFonts w:hint="eastAsia" w:cs="Times New Roman"/>
                <w:kern w:val="0"/>
                <w:sz w:val="20"/>
                <w:szCs w:val="20"/>
              </w:rPr>
              <w:t>公共卫生和人口结构驱动多元化需求激增</w:t>
            </w:r>
          </w:p>
        </w:tc>
        <w:tc>
          <w:tcPr>
            <w:tcW w:w="3879" w:type="pct"/>
            <w:shd w:val="clear" w:color="auto" w:fill="auto"/>
            <w:vAlign w:val="top"/>
          </w:tcPr>
          <w:p w14:paraId="3BF15D52">
            <w:pPr>
              <w:rPr>
                <w:rFonts w:cs="Times New Roman"/>
                <w:kern w:val="0"/>
                <w:sz w:val="20"/>
                <w:szCs w:val="20"/>
              </w:rPr>
            </w:pPr>
            <w:r>
              <w:rPr>
                <w:rFonts w:hint="eastAsia" w:cs="Times New Roman"/>
                <w:kern w:val="0"/>
                <w:sz w:val="20"/>
                <w:szCs w:val="20"/>
              </w:rPr>
              <w:t>突发公共卫生事件（例如传染病爆发）、居家死亡人数上升（2023年英格兰/威尔士28.4%的死亡发生在家中）以及更严格的工业安全法规，使得需求从犯罪/医疗现场扩展到家庭、实验室和食品工厂。</w:t>
            </w:r>
          </w:p>
        </w:tc>
      </w:tr>
      <w:tr w14:paraId="15F7F6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FE95918">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460BE095">
            <w:pPr>
              <w:rPr>
                <w:rFonts w:cs="Times New Roman"/>
                <w:kern w:val="0"/>
                <w:sz w:val="20"/>
                <w:szCs w:val="20"/>
              </w:rPr>
            </w:pPr>
            <w:r>
              <w:rPr>
                <w:rFonts w:hint="eastAsia" w:cs="Times New Roman"/>
                <w:kern w:val="0"/>
                <w:sz w:val="20"/>
                <w:szCs w:val="20"/>
              </w:rPr>
              <w:t>科技赋能创造高价值服务溢价</w:t>
            </w:r>
          </w:p>
        </w:tc>
        <w:tc>
          <w:tcPr>
            <w:tcW w:w="3879" w:type="pct"/>
            <w:shd w:val="clear" w:color="auto" w:fill="auto"/>
            <w:vAlign w:val="top"/>
          </w:tcPr>
          <w:p w14:paraId="50B39F6D">
            <w:pPr>
              <w:rPr>
                <w:rFonts w:cs="Times New Roman"/>
                <w:kern w:val="0"/>
                <w:sz w:val="20"/>
                <w:szCs w:val="20"/>
              </w:rPr>
            </w:pPr>
            <w:r>
              <w:rPr>
                <w:rFonts w:hint="eastAsia" w:cs="Times New Roman"/>
                <w:kern w:val="0"/>
                <w:sz w:val="20"/>
                <w:szCs w:val="20"/>
              </w:rPr>
              <w:t>采用UV-C紫外线消毒、静电喷雾器和便携式ATP检测仪，可将清洁后验证时间从24小时缩短至15分钟，从而提高30%的效率。人工智能调度和数字追溯系统符合严格的监管要求，可为医院/实验室客户提供溢价——自动化设备还可降低20%的人工成本。</w:t>
            </w:r>
          </w:p>
        </w:tc>
      </w:tr>
      <w:tr w14:paraId="4B7B68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4BD7D1D">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5475C0B0">
            <w:pPr>
              <w:rPr>
                <w:rFonts w:cs="Times New Roman"/>
                <w:kern w:val="0"/>
                <w:sz w:val="20"/>
                <w:szCs w:val="20"/>
              </w:rPr>
            </w:pPr>
            <w:r>
              <w:rPr>
                <w:rFonts w:hint="eastAsia" w:cs="Times New Roman"/>
                <w:kern w:val="0"/>
                <w:sz w:val="20"/>
                <w:szCs w:val="20"/>
              </w:rPr>
              <w:t>政策合规壁垒刺激市场集中度</w:t>
            </w:r>
          </w:p>
        </w:tc>
        <w:tc>
          <w:tcPr>
            <w:tcW w:w="3879" w:type="pct"/>
            <w:shd w:val="clear" w:color="auto" w:fill="auto"/>
            <w:vAlign w:val="top"/>
          </w:tcPr>
          <w:p w14:paraId="446E0325">
            <w:pPr>
              <w:rPr>
                <w:rFonts w:cs="Times New Roman"/>
                <w:kern w:val="0"/>
                <w:sz w:val="20"/>
                <w:szCs w:val="20"/>
              </w:rPr>
            </w:pPr>
            <w:r>
              <w:rPr>
                <w:rFonts w:hint="eastAsia" w:cs="Times New Roman"/>
                <w:kern w:val="0"/>
                <w:sz w:val="20"/>
                <w:szCs w:val="20"/>
              </w:rPr>
              <w:t>严格的OSHA血源性病原体培训（1910.1030）和欧盟MDR认证淘汰了合规水平较低的小型企业，使获得认证的公司受益。政府补助（例如，美国联邦紧急事务管理署的灾后清理补贴）和数字监管（中国的“COVID-19 BWM”垃圾追踪应用程序）进一步降低了合规企业的运营风险。</w:t>
            </w:r>
          </w:p>
        </w:tc>
      </w:tr>
    </w:tbl>
    <w:p w14:paraId="52D9B266">
      <w:pPr>
        <w:pStyle w:val="143"/>
        <w:rPr>
          <w:lang w:eastAsia="zh-CN"/>
        </w:rPr>
      </w:pPr>
      <w:r>
        <w:rPr>
          <w:rFonts w:hint="eastAsia"/>
          <w:lang w:eastAsia="zh-CN"/>
        </w:rPr>
        <w:t>资料来源：第三方资料、新闻报道、业内专家采访及QYResearch整理研究，2025年</w:t>
      </w:r>
    </w:p>
    <w:p w14:paraId="03DBA50D">
      <w:pPr>
        <w:pStyle w:val="143"/>
        <w:rPr>
          <w:rFonts w:hint="eastAsia"/>
          <w:lang w:eastAsia="zh-CN"/>
        </w:rPr>
      </w:pPr>
    </w:p>
    <w:p w14:paraId="77044F4A">
      <w:pPr>
        <w:pStyle w:val="151"/>
        <w:rPr>
          <w:lang w:eastAsia="zh-CN"/>
        </w:rPr>
      </w:pPr>
      <w:r>
        <w:rPr>
          <w:lang w:eastAsia="zh-CN"/>
        </w:rPr>
        <w:t>生物危害和犯罪现场清理</w:t>
      </w:r>
      <w:r>
        <w:rPr>
          <w:rFonts w:hint="eastAsia"/>
          <w:lang w:eastAsia="zh-CN"/>
        </w:rPr>
        <w:t>行业发展阻碍因素/挑战</w:t>
      </w:r>
    </w:p>
    <w:tbl>
      <w:tblPr>
        <w:tblStyle w:val="43"/>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1775"/>
        <w:gridCol w:w="7729"/>
      </w:tblGrid>
      <w:tr w14:paraId="7BDB36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67FF74F">
            <w:pPr>
              <w:rPr>
                <w:rFonts w:cs="Times New Roman"/>
                <w:b w:val="0"/>
                <w:bCs w:val="0"/>
                <w:color w:val="FFFFFF"/>
                <w:kern w:val="0"/>
                <w:sz w:val="20"/>
                <w:szCs w:val="20"/>
              </w:rPr>
            </w:pPr>
          </w:p>
        </w:tc>
        <w:tc>
          <w:tcPr>
            <w:tcW w:w="891" w:type="pct"/>
            <w:shd w:val="solid" w:color="000080" w:fill="FFFFFF"/>
            <w:vAlign w:val="center"/>
          </w:tcPr>
          <w:p w14:paraId="463F4A45">
            <w:pPr>
              <w:rPr>
                <w:rFonts w:cs="Times New Roman"/>
                <w:b w:val="0"/>
                <w:bCs w:val="0"/>
                <w:color w:val="FFFFFF"/>
                <w:kern w:val="0"/>
                <w:sz w:val="20"/>
                <w:szCs w:val="20"/>
              </w:rPr>
            </w:pPr>
            <w:r>
              <w:rPr>
                <w:rFonts w:hint="eastAsia" w:cs="Times New Roman"/>
                <w:b/>
                <w:bCs/>
                <w:color w:val="FFFFFF"/>
                <w:kern w:val="0"/>
                <w:sz w:val="20"/>
                <w:szCs w:val="20"/>
              </w:rPr>
              <w:t>阻碍因素/挑战</w:t>
            </w:r>
          </w:p>
        </w:tc>
        <w:tc>
          <w:tcPr>
            <w:tcW w:w="3879" w:type="pct"/>
            <w:shd w:val="solid" w:color="000080" w:fill="FFFFFF"/>
            <w:vAlign w:val="center"/>
          </w:tcPr>
          <w:p w14:paraId="0511183B">
            <w:pPr>
              <w:rPr>
                <w:rFonts w:cs="Times New Roman"/>
                <w:b w:val="0"/>
                <w:bCs w:val="0"/>
                <w:color w:val="FFFFFF"/>
                <w:kern w:val="0"/>
                <w:sz w:val="20"/>
                <w:szCs w:val="20"/>
              </w:rPr>
            </w:pPr>
            <w:r>
              <w:rPr>
                <w:rFonts w:hint="eastAsia" w:cs="Times New Roman"/>
                <w:b/>
                <w:bCs/>
                <w:color w:val="FFFFFF"/>
                <w:kern w:val="0"/>
                <w:sz w:val="20"/>
                <w:szCs w:val="20"/>
              </w:rPr>
              <w:t>描述</w:t>
            </w:r>
          </w:p>
        </w:tc>
      </w:tr>
      <w:tr w14:paraId="6E1964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3D10B45">
            <w:pPr>
              <w:rPr>
                <w:rFonts w:cs="Times New Roman"/>
                <w:kern w:val="0"/>
                <w:sz w:val="20"/>
                <w:szCs w:val="20"/>
              </w:rPr>
            </w:pPr>
            <w:r>
              <w:rPr>
                <w:rFonts w:hint="eastAsia" w:cs="Times New Roman"/>
                <w:kern w:val="0"/>
                <w:sz w:val="20"/>
                <w:szCs w:val="20"/>
              </w:rPr>
              <w:t>1</w:t>
            </w:r>
          </w:p>
        </w:tc>
        <w:tc>
          <w:tcPr>
            <w:tcW w:w="891" w:type="pct"/>
            <w:shd w:val="clear" w:color="auto" w:fill="auto"/>
            <w:vAlign w:val="top"/>
          </w:tcPr>
          <w:p w14:paraId="25AA1888">
            <w:pPr>
              <w:rPr>
                <w:rFonts w:cs="Times New Roman"/>
                <w:kern w:val="0"/>
                <w:sz w:val="20"/>
                <w:szCs w:val="20"/>
              </w:rPr>
            </w:pPr>
            <w:r>
              <w:rPr>
                <w:rFonts w:hint="eastAsia" w:cs="Times New Roman"/>
                <w:kern w:val="0"/>
                <w:sz w:val="20"/>
                <w:szCs w:val="20"/>
              </w:rPr>
              <w:t>监管合规复杂性</w:t>
            </w:r>
          </w:p>
        </w:tc>
        <w:tc>
          <w:tcPr>
            <w:tcW w:w="3879" w:type="pct"/>
            <w:shd w:val="clear" w:color="auto" w:fill="auto"/>
            <w:vAlign w:val="top"/>
          </w:tcPr>
          <w:p w14:paraId="097BD14E">
            <w:pPr>
              <w:rPr>
                <w:rFonts w:cs="Times New Roman"/>
                <w:kern w:val="0"/>
                <w:sz w:val="20"/>
                <w:szCs w:val="20"/>
              </w:rPr>
            </w:pPr>
            <w:r>
              <w:rPr>
                <w:rFonts w:hint="eastAsia" w:cs="Times New Roman"/>
                <w:kern w:val="0"/>
                <w:sz w:val="20"/>
                <w:szCs w:val="20"/>
              </w:rPr>
              <w:t>严格遵守美国职业安全与健康管理局 (OSHA) 血源性病原体培训 (29 CFR 1910.1030) 和美国环境保护署 (EPA) 废物处理法规 (RCRA) 会增加运营成本。遵守各州特定的许可证（例如，加州的创伤现场废物 (TSW) 许可证）会增加行政负担。国际差异（例如，欧盟的《废物框架指令》与美国职业安全与健康管理局的标准）导致跨境运营成本增加 15-20%。</w:t>
            </w:r>
          </w:p>
        </w:tc>
      </w:tr>
      <w:tr w14:paraId="629C05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F23ABDE">
            <w:pPr>
              <w:rPr>
                <w:rFonts w:cs="Times New Roman"/>
                <w:kern w:val="0"/>
                <w:sz w:val="20"/>
                <w:szCs w:val="20"/>
              </w:rPr>
            </w:pPr>
            <w:r>
              <w:rPr>
                <w:rFonts w:hint="eastAsia" w:cs="Times New Roman"/>
                <w:kern w:val="0"/>
                <w:sz w:val="20"/>
                <w:szCs w:val="20"/>
              </w:rPr>
              <w:t>2</w:t>
            </w:r>
          </w:p>
        </w:tc>
        <w:tc>
          <w:tcPr>
            <w:tcW w:w="891" w:type="pct"/>
            <w:shd w:val="clear" w:color="auto" w:fill="auto"/>
            <w:vAlign w:val="top"/>
          </w:tcPr>
          <w:p w14:paraId="768547F9">
            <w:pPr>
              <w:rPr>
                <w:rFonts w:cs="Times New Roman"/>
                <w:kern w:val="0"/>
                <w:sz w:val="20"/>
                <w:szCs w:val="20"/>
              </w:rPr>
            </w:pPr>
            <w:r>
              <w:rPr>
                <w:rFonts w:hint="eastAsia" w:cs="Times New Roman"/>
                <w:kern w:val="0"/>
                <w:sz w:val="20"/>
                <w:szCs w:val="20"/>
              </w:rPr>
              <w:t>高昂的运营成本</w:t>
            </w:r>
          </w:p>
        </w:tc>
        <w:tc>
          <w:tcPr>
            <w:tcW w:w="3879" w:type="pct"/>
            <w:shd w:val="clear" w:color="auto" w:fill="auto"/>
            <w:vAlign w:val="top"/>
          </w:tcPr>
          <w:p w14:paraId="722723F9">
            <w:pPr>
              <w:rPr>
                <w:rFonts w:cs="Times New Roman"/>
                <w:kern w:val="0"/>
                <w:sz w:val="20"/>
                <w:szCs w:val="20"/>
              </w:rPr>
            </w:pPr>
            <w:r>
              <w:rPr>
                <w:rFonts w:hint="eastAsia" w:cs="Times New Roman"/>
                <w:kern w:val="0"/>
                <w:sz w:val="20"/>
                <w:szCs w:val="20"/>
              </w:rPr>
              <w:t>平均每月支出在 10,000 至 15,000 美元之间，其中生物危害处置费（每月 1,000 至 5,000 美元）和个人防护装备 (PPE) 成本（例如，四级防护服、N95 呼吸器）占了很大一部分。保险费（责任险、工伤赔偿）和车辆维护进一步压缩了利润率。</w:t>
            </w:r>
          </w:p>
        </w:tc>
      </w:tr>
      <w:tr w14:paraId="6EA3AE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699B33F">
            <w:pPr>
              <w:rPr>
                <w:rFonts w:cs="Times New Roman"/>
                <w:kern w:val="0"/>
                <w:sz w:val="20"/>
                <w:szCs w:val="20"/>
              </w:rPr>
            </w:pPr>
            <w:r>
              <w:rPr>
                <w:rFonts w:hint="eastAsia" w:cs="Times New Roman"/>
                <w:kern w:val="0"/>
                <w:sz w:val="20"/>
                <w:szCs w:val="20"/>
              </w:rPr>
              <w:t>3</w:t>
            </w:r>
          </w:p>
        </w:tc>
        <w:tc>
          <w:tcPr>
            <w:tcW w:w="891" w:type="pct"/>
            <w:shd w:val="clear" w:color="auto" w:fill="auto"/>
            <w:vAlign w:val="top"/>
          </w:tcPr>
          <w:p w14:paraId="217E4810">
            <w:pPr>
              <w:rPr>
                <w:rFonts w:cs="Times New Roman"/>
                <w:kern w:val="0"/>
                <w:sz w:val="20"/>
                <w:szCs w:val="20"/>
              </w:rPr>
            </w:pPr>
            <w:r>
              <w:rPr>
                <w:rFonts w:hint="eastAsia" w:cs="Times New Roman"/>
                <w:kern w:val="0"/>
                <w:sz w:val="20"/>
                <w:szCs w:val="20"/>
              </w:rPr>
              <w:t>情绪和心理压力</w:t>
            </w:r>
          </w:p>
        </w:tc>
        <w:tc>
          <w:tcPr>
            <w:tcW w:w="3879" w:type="pct"/>
            <w:shd w:val="clear" w:color="auto" w:fill="auto"/>
            <w:vAlign w:val="top"/>
          </w:tcPr>
          <w:p w14:paraId="049F4EEE">
            <w:pPr>
              <w:rPr>
                <w:rFonts w:cs="Times New Roman"/>
                <w:kern w:val="0"/>
                <w:sz w:val="20"/>
                <w:szCs w:val="20"/>
              </w:rPr>
            </w:pPr>
            <w:r>
              <w:rPr>
                <w:rFonts w:hint="eastAsia" w:cs="Times New Roman"/>
                <w:kern w:val="0"/>
                <w:sz w:val="20"/>
                <w:szCs w:val="20"/>
              </w:rPr>
              <w:t>接触创伤性场景（例如，凶杀案、腐烂的尸体）会导致同情心疲劳和倦怠。由于污名化和缺乏心理健康支持，员工流失率超过30-40%。继发性创伤症状（例如噩梦、焦虑）在技术人员中很常见。</w:t>
            </w:r>
          </w:p>
        </w:tc>
      </w:tr>
      <w:tr w14:paraId="2A03B9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857BA14">
            <w:pPr>
              <w:rPr>
                <w:rFonts w:cs="Times New Roman"/>
                <w:kern w:val="0"/>
                <w:sz w:val="20"/>
                <w:szCs w:val="20"/>
              </w:rPr>
            </w:pPr>
            <w:r>
              <w:rPr>
                <w:rFonts w:hint="eastAsia" w:cs="Times New Roman"/>
                <w:kern w:val="0"/>
                <w:sz w:val="20"/>
                <w:szCs w:val="20"/>
              </w:rPr>
              <w:t>4</w:t>
            </w:r>
          </w:p>
        </w:tc>
        <w:tc>
          <w:tcPr>
            <w:tcW w:w="891" w:type="pct"/>
            <w:shd w:val="clear" w:color="auto" w:fill="auto"/>
            <w:vAlign w:val="top"/>
          </w:tcPr>
          <w:p w14:paraId="788A5705">
            <w:pPr>
              <w:rPr>
                <w:rFonts w:cs="Times New Roman"/>
                <w:kern w:val="0"/>
                <w:sz w:val="20"/>
                <w:szCs w:val="20"/>
              </w:rPr>
            </w:pPr>
            <w:r>
              <w:rPr>
                <w:rFonts w:hint="eastAsia" w:cs="Times New Roman"/>
                <w:kern w:val="0"/>
                <w:sz w:val="20"/>
                <w:szCs w:val="20"/>
              </w:rPr>
              <w:t>熟练劳动力短缺</w:t>
            </w:r>
          </w:p>
        </w:tc>
        <w:tc>
          <w:tcPr>
            <w:tcW w:w="3879" w:type="pct"/>
            <w:shd w:val="clear" w:color="auto" w:fill="auto"/>
            <w:vAlign w:val="top"/>
          </w:tcPr>
          <w:p w14:paraId="6E395F23">
            <w:pPr>
              <w:rPr>
                <w:rFonts w:cs="Times New Roman"/>
                <w:kern w:val="0"/>
                <w:sz w:val="20"/>
                <w:szCs w:val="20"/>
              </w:rPr>
            </w:pPr>
            <w:r>
              <w:rPr>
                <w:rFonts w:hint="eastAsia" w:cs="Times New Roman"/>
                <w:kern w:val="0"/>
                <w:sz w:val="20"/>
                <w:szCs w:val="20"/>
              </w:rPr>
              <w:t>严格的认证要求（例如危险品、血源性病原体培训）带来了招聘挑战。与高薪行业（例如建筑业）的竞争加剧了劳动力缺口。由于人才库有限，偏远/农村地区面临严重的人才短缺。</w:t>
            </w:r>
          </w:p>
        </w:tc>
      </w:tr>
    </w:tbl>
    <w:p w14:paraId="6BF1349A">
      <w:pPr>
        <w:pStyle w:val="143"/>
        <w:rPr>
          <w:rFonts w:hint="eastAsia"/>
          <w:lang w:eastAsia="zh-CN"/>
        </w:rPr>
      </w:pPr>
      <w:r>
        <w:rPr>
          <w:rFonts w:hint="eastAsia"/>
          <w:lang w:eastAsia="zh-CN"/>
        </w:rPr>
        <w:t>资料来源：第三方资料、新闻报道、业内专家采访及QYResearch整理研究，2025年</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498"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3F7F"/>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424"/>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2FF"/>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4E4"/>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70"/>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699"/>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7B8"/>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3E"/>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0D"/>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55"/>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3DC"/>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7CF"/>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BF2"/>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771"/>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80"/>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EAC"/>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97D"/>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CC"/>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7C7"/>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330"/>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1E5A"/>
    <w:rsid w:val="003222B2"/>
    <w:rsid w:val="0032233A"/>
    <w:rsid w:val="0032252E"/>
    <w:rsid w:val="00322721"/>
    <w:rsid w:val="00322960"/>
    <w:rsid w:val="00322BA7"/>
    <w:rsid w:val="00322D00"/>
    <w:rsid w:val="00322D2F"/>
    <w:rsid w:val="00322FBE"/>
    <w:rsid w:val="003233B0"/>
    <w:rsid w:val="00323AAB"/>
    <w:rsid w:val="00323B90"/>
    <w:rsid w:val="0032423E"/>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DD1"/>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29"/>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658"/>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70"/>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5FCD"/>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33F"/>
    <w:rsid w:val="0041288E"/>
    <w:rsid w:val="00412A8A"/>
    <w:rsid w:val="00412AF2"/>
    <w:rsid w:val="00412DD9"/>
    <w:rsid w:val="00412E2C"/>
    <w:rsid w:val="004130C5"/>
    <w:rsid w:val="0041335F"/>
    <w:rsid w:val="00413456"/>
    <w:rsid w:val="004134C8"/>
    <w:rsid w:val="00413999"/>
    <w:rsid w:val="00413B7E"/>
    <w:rsid w:val="00413E60"/>
    <w:rsid w:val="004140C1"/>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0CA"/>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216"/>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CD6"/>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BA"/>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59D"/>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977"/>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CC5"/>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5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A7BE3"/>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5D00"/>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959"/>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668"/>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5C11"/>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01"/>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269"/>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3FFC"/>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0F6"/>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1CD1"/>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2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46C"/>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3F72"/>
    <w:rsid w:val="00724290"/>
    <w:rsid w:val="0072438D"/>
    <w:rsid w:val="007244CA"/>
    <w:rsid w:val="007246A4"/>
    <w:rsid w:val="00724783"/>
    <w:rsid w:val="007252EA"/>
    <w:rsid w:val="007253B4"/>
    <w:rsid w:val="00725466"/>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37B"/>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536"/>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95A"/>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5CC"/>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1D3"/>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2E39"/>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907"/>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A26"/>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2AF"/>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6BF"/>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4E01"/>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590"/>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2F7"/>
    <w:rsid w:val="009733AB"/>
    <w:rsid w:val="009735DA"/>
    <w:rsid w:val="009735EC"/>
    <w:rsid w:val="009738BE"/>
    <w:rsid w:val="00973989"/>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15"/>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371"/>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726"/>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A1A"/>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BFD"/>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9C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D57"/>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B41"/>
    <w:rsid w:val="00A07D3A"/>
    <w:rsid w:val="00A103A9"/>
    <w:rsid w:val="00A10482"/>
    <w:rsid w:val="00A10561"/>
    <w:rsid w:val="00A10676"/>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4DA"/>
    <w:rsid w:val="00A15639"/>
    <w:rsid w:val="00A159B7"/>
    <w:rsid w:val="00A15B5E"/>
    <w:rsid w:val="00A15BB4"/>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0B5"/>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C"/>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B7E"/>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6F3"/>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359"/>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70"/>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443"/>
    <w:rsid w:val="00A93660"/>
    <w:rsid w:val="00A9373A"/>
    <w:rsid w:val="00A93B4B"/>
    <w:rsid w:val="00A93CBF"/>
    <w:rsid w:val="00A93DB4"/>
    <w:rsid w:val="00A93E79"/>
    <w:rsid w:val="00A93F36"/>
    <w:rsid w:val="00A93F78"/>
    <w:rsid w:val="00A94393"/>
    <w:rsid w:val="00A946AB"/>
    <w:rsid w:val="00A94703"/>
    <w:rsid w:val="00A94C6B"/>
    <w:rsid w:val="00A94D96"/>
    <w:rsid w:val="00A94EA3"/>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796"/>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4A3"/>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4E3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0EB"/>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D0"/>
    <w:rsid w:val="00B361F1"/>
    <w:rsid w:val="00B361F3"/>
    <w:rsid w:val="00B36219"/>
    <w:rsid w:val="00B36573"/>
    <w:rsid w:val="00B36687"/>
    <w:rsid w:val="00B36D79"/>
    <w:rsid w:val="00B36D85"/>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6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BEE"/>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62D"/>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2FFF"/>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E8A"/>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D8A"/>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9A9"/>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EE9"/>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8DB"/>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2EB"/>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4B2"/>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96C"/>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D08"/>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F98"/>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490"/>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3C4"/>
    <w:rsid w:val="00D25A1E"/>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319"/>
    <w:rsid w:val="00D41438"/>
    <w:rsid w:val="00D4183B"/>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437"/>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525"/>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83"/>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3F2C"/>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B8D"/>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BAE"/>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6F98"/>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3E85"/>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DEE"/>
    <w:rsid w:val="00E64F11"/>
    <w:rsid w:val="00E64FF4"/>
    <w:rsid w:val="00E65251"/>
    <w:rsid w:val="00E65503"/>
    <w:rsid w:val="00E65A33"/>
    <w:rsid w:val="00E65F70"/>
    <w:rsid w:val="00E65FDE"/>
    <w:rsid w:val="00E6620A"/>
    <w:rsid w:val="00E664D4"/>
    <w:rsid w:val="00E6729D"/>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641"/>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2FC6"/>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893"/>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2D"/>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DE7"/>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7C7"/>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6EE3"/>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D07"/>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95F"/>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657"/>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2F1"/>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96"/>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39E5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ind w:left="357"/>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paragraph" w:customStyle="1" w:styleId="205">
    <w:name w:val="表"/>
    <w:basedOn w:val="148"/>
    <w:link w:val="206"/>
    <w:qFormat/>
    <w:uiPriority w:val="0"/>
    <w:rPr>
      <w:lang w:eastAsia="zh-CN"/>
    </w:rPr>
  </w:style>
  <w:style w:type="character" w:customStyle="1" w:styleId="206">
    <w:name w:val="表 字符"/>
    <w:basedOn w:val="150"/>
    <w:link w:val="205"/>
    <w:qFormat/>
    <w:uiPriority w:val="0"/>
    <w:rPr>
      <w:rFonts w:ascii="Tahoma" w:hAnsi="Tahoma" w:eastAsia="宋体" w:cs="Arial"/>
      <w:color w:val="FF8200"/>
      <w:kern w:val="0"/>
      <w:sz w:val="22"/>
      <w:szCs w:val="22"/>
      <w:lang w:eastAsia="en-US"/>
    </w:rPr>
  </w:style>
  <w:style w:type="paragraph" w:customStyle="1" w:styleId="207">
    <w:name w:val="表.   Table S"/>
    <w:basedOn w:val="151"/>
    <w:link w:val="208"/>
    <w:qFormat/>
    <w:uiPriority w:val="0"/>
    <w:pPr>
      <w:widowControl w:val="0"/>
      <w:spacing w:line="288" w:lineRule="auto"/>
      <w:ind w:left="252" w:right="-105" w:rightChars="-50" w:hanging="357"/>
    </w:pPr>
    <w:rPr>
      <w:u w:val="single"/>
      <w:lang w:eastAsia="zh-CN"/>
    </w:rPr>
  </w:style>
  <w:style w:type="character" w:customStyle="1" w:styleId="208">
    <w:name w:val="表.   Table S 字符"/>
    <w:basedOn w:val="168"/>
    <w:link w:val="207"/>
    <w:qFormat/>
    <w:uiPriority w:val="0"/>
    <w:rPr>
      <w:rFonts w:ascii="Tahoma" w:hAnsi="Tahoma" w:eastAsia="宋体" w:cs="Calibri"/>
      <w:caps w:val="0"/>
      <w:color w:val="FF8200"/>
      <w:spacing w:val="-3"/>
      <w:kern w:val="0"/>
      <w:sz w:val="40"/>
      <w:szCs w:val="22"/>
      <w:u w:val="single"/>
      <w:lang w:val="en-IN" w:eastAsia="en-I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1412</Words>
  <Characters>1670</Characters>
  <Lines>88</Lines>
  <Paragraphs>32</Paragraphs>
  <TotalTime>1</TotalTime>
  <ScaleCrop>false</ScaleCrop>
  <LinksUpToDate>false</LinksUpToDate>
  <CharactersWithSpaces>1697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2025-10-16T08:02:00Z</dcterms:created>
  <dc:creator>yangj</dc:creator>
  <cp:lastModifiedBy>鼕鼕</cp:lastModifiedBy>
  <dcterms:modified xsi:type="dcterms:W3CDTF">2025-11-20T09:58:27Z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4A31270C5DDC446FBE2F63223BE47140_12</vt:lpwstr>
  </property>
</Properties>
</file>