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88094">
      <w:pPr>
        <w:pStyle w:val="145"/>
        <w:rPr>
          <w:lang w:val="en-US" w:eastAsia="zh-CN"/>
        </w:rPr>
      </w:pPr>
      <w:bookmarkStart w:id="0" w:name="_Hlk176269009"/>
      <w:bookmarkStart w:id="1" w:name="_Toc453597319"/>
      <w:bookmarkStart w:id="2" w:name="_Toc481801204"/>
      <w:bookmarkStart w:id="3" w:name="_Toc438987549"/>
      <w:bookmarkStart w:id="4" w:name="_Toc415818939"/>
      <w:bookmarkStart w:id="5" w:name="OLE_LINK15"/>
      <w:bookmarkStart w:id="6" w:name="_Toc517262917"/>
      <w:bookmarkStart w:id="7" w:name="OLE_LINK13"/>
      <w:bookmarkStart w:id="8" w:name="_Toc418070112"/>
      <w:bookmarkStart w:id="9" w:name="_Toc415142861"/>
      <w:bookmarkStart w:id="10" w:name="OLE_LINK39"/>
      <w:bookmarkStart w:id="11" w:name="OLE_LINK40"/>
      <w:bookmarkStart w:id="12" w:name="OLE_LINK24"/>
      <w:bookmarkStart w:id="13" w:name="_Toc415143481"/>
      <w:r>
        <w:drawing>
          <wp:inline distT="0" distB="0" distL="114300" distR="114300">
            <wp:extent cx="6187440" cy="4949825"/>
            <wp:effectExtent l="0" t="0" r="381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6187440" cy="4949825"/>
                    </a:xfrm>
                    <a:prstGeom prst="rect">
                      <a:avLst/>
                    </a:prstGeom>
                    <a:noFill/>
                    <a:ln>
                      <a:noFill/>
                    </a:ln>
                  </pic:spPr>
                </pic:pic>
              </a:graphicData>
            </a:graphic>
          </wp:inline>
        </w:drawing>
      </w:r>
      <w:r>
        <w:rPr>
          <w:rFonts w:hint="eastAsia"/>
          <w:lang w:val="en-US" w:eastAsia="zh-CN"/>
        </w:rPr>
        <w:t>易切削铍铜合金通常是指C17300铍铜，其在铍铜的成分里添加了含量为0.2%~0.6%的铅，使它易于切削，有极佳的机械加工性能。它具有与特殊钢相当的高强度极限、弹性极限、屈服极限和疲劳极限，同时又具有备高的导电率、高硬度和耐磨性，高的蠕变抗力及耐蚀性能，还具有良好的铸造性能。</w:t>
      </w:r>
    </w:p>
    <w:p w14:paraId="065CF6E9">
      <w:pPr>
        <w:pStyle w:val="145"/>
        <w:jc w:val="center"/>
        <w:rPr>
          <w:lang w:eastAsia="zh-CN"/>
        </w:rPr>
      </w:pPr>
      <w:r>
        <w:drawing>
          <wp:inline distT="0" distB="0" distL="0" distR="0">
            <wp:extent cx="2458085" cy="2410460"/>
            <wp:effectExtent l="0" t="0" r="0" b="8890"/>
            <wp:docPr id="394479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479101" name="图片 1"/>
                    <pic:cNvPicPr>
                      <a:picLocks noChangeAspect="1"/>
                    </pic:cNvPicPr>
                  </pic:nvPicPr>
                  <pic:blipFill>
                    <a:blip r:embed="rId10"/>
                    <a:stretch>
                      <a:fillRect/>
                    </a:stretch>
                  </pic:blipFill>
                  <pic:spPr>
                    <a:xfrm>
                      <a:off x="0" y="0"/>
                      <a:ext cx="2462037" cy="2413919"/>
                    </a:xfrm>
                    <a:prstGeom prst="rect">
                      <a:avLst/>
                    </a:prstGeom>
                  </pic:spPr>
                </pic:pic>
              </a:graphicData>
            </a:graphic>
          </wp:inline>
        </w:drawing>
      </w:r>
    </w:p>
    <w:bookmarkEnd w:id="0"/>
    <w:p w14:paraId="435E3011">
      <w:pPr>
        <w:pStyle w:val="145"/>
        <w:rPr>
          <w:lang w:eastAsia="zh-CN"/>
        </w:rPr>
      </w:pPr>
      <w:r>
        <w:rPr>
          <w:rFonts w:hint="eastAsia"/>
          <w:lang w:eastAsia="zh-CN"/>
        </w:rPr>
        <w:t>据QYResearch调研团队最新报告“全球易切削铍铜合金市场报告2025-2031”显示，预计2031年全球易切削铍铜合金市场规模将达到1.4亿美元，未来几年年复合增长率CAGR为3.9%。</w:t>
      </w:r>
    </w:p>
    <w:p w14:paraId="3F6C272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lang w:eastAsia="zh-CN"/>
        </w:rPr>
        <w:t>易切削铍铜合金</w:t>
      </w:r>
      <w:r>
        <w:rPr>
          <w:rFonts w:hint="eastAsia"/>
          <w:lang w:eastAsia="zh-CN"/>
        </w:rPr>
        <w:t>，全球市场总体规模</w:t>
      </w:r>
    </w:p>
    <w:p w14:paraId="33261207">
      <w:pPr>
        <w:pStyle w:val="145"/>
        <w:rPr>
          <w:lang w:val="en-US" w:eastAsia="zh-CN"/>
        </w:rPr>
      </w:pPr>
      <w:r>
        <w:rPr>
          <w:lang w:val="en-US" w:eastAsia="zh-CN"/>
        </w:rPr>
        <w:drawing>
          <wp:inline distT="0" distB="0" distL="0" distR="0">
            <wp:extent cx="6407150" cy="3060700"/>
            <wp:effectExtent l="0" t="0" r="0" b="6350"/>
            <wp:docPr id="9616685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668527" name="图片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407150" cy="3060700"/>
                    </a:xfrm>
                    <a:prstGeom prst="rect">
                      <a:avLst/>
                    </a:prstGeom>
                    <a:noFill/>
                  </pic:spPr>
                </pic:pic>
              </a:graphicData>
            </a:graphic>
          </wp:inline>
        </w:drawing>
      </w:r>
    </w:p>
    <w:p w14:paraId="1308BB73">
      <w:pPr>
        <w:pStyle w:val="143"/>
        <w:rPr>
          <w:lang w:eastAsia="zh-CN"/>
        </w:rPr>
      </w:pPr>
      <w:r>
        <w:rPr>
          <w:rFonts w:hint="eastAsia"/>
          <w:lang w:eastAsia="zh-CN"/>
        </w:rPr>
        <w:t>来源：QYResearch</w:t>
      </w:r>
      <w:r>
        <w:rPr>
          <w:rFonts w:hint="eastAsia"/>
          <w:sz w:val="22"/>
          <w:szCs w:val="36"/>
          <w:lang w:eastAsia="zh-CN"/>
        </w:rPr>
        <w:t xml:space="preserve"> </w:t>
      </w:r>
      <w:r>
        <w:rPr>
          <w:rFonts w:hint="eastAsia"/>
          <w:lang w:eastAsia="zh-CN"/>
        </w:rPr>
        <w:t>化工及材料研究中心</w:t>
      </w:r>
    </w:p>
    <w:p w14:paraId="0352E339">
      <w:pPr>
        <w:pStyle w:val="145"/>
        <w:rPr>
          <w:rFonts w:hint="eastAsia"/>
          <w:lang w:eastAsia="zh-CN"/>
        </w:rPr>
      </w:pPr>
      <w:r>
        <w:rPr>
          <w:rFonts w:hint="eastAsia"/>
          <w:lang w:eastAsia="zh-CN"/>
        </w:rPr>
        <w:t>一、发展趋势</w:t>
      </w:r>
    </w:p>
    <w:p w14:paraId="1DE3B2CA">
      <w:pPr>
        <w:pStyle w:val="145"/>
        <w:rPr>
          <w:rFonts w:hint="eastAsia"/>
          <w:lang w:eastAsia="zh-CN"/>
        </w:rPr>
      </w:pPr>
      <w:r>
        <w:rPr>
          <w:rFonts w:hint="eastAsia"/>
          <w:lang w:eastAsia="zh-CN"/>
        </w:rPr>
        <w:t>1. 高端应用场景的性能需求驱动材料体系持续优化</w:t>
      </w:r>
    </w:p>
    <w:p w14:paraId="434EA1E3">
      <w:pPr>
        <w:pStyle w:val="145"/>
        <w:rPr>
          <w:rFonts w:hint="eastAsia"/>
          <w:lang w:eastAsia="zh-CN"/>
        </w:rPr>
      </w:pPr>
      <w:r>
        <w:rPr>
          <w:rFonts w:hint="eastAsia"/>
          <w:lang w:eastAsia="zh-CN"/>
        </w:rPr>
        <w:t>未来，易切削铍铜合金的发展将超越基础性能的满足，向满足特定高端场景的复合性能需求深化。在消费电子微型化、汽车电子高电压化及航空航天设备高可靠性要求的共同驱动下，市场对材料在保持优异切削性的同时，提出了更高的强度、导电性、耐热性及长期稳定性要求。这将促使生产商在C17300等现有体系基础上，通过微合金化、热处理工艺创新及杂质控制等手段，进一步优化材料的综合性能图谱，以适应如高速连接器、大电流继电器、精密传感器等更严苛的应用环境。</w:t>
      </w:r>
    </w:p>
    <w:p w14:paraId="74D1EF53">
      <w:pPr>
        <w:pStyle w:val="145"/>
        <w:rPr>
          <w:rFonts w:hint="eastAsia"/>
          <w:lang w:eastAsia="zh-CN"/>
        </w:rPr>
      </w:pPr>
      <w:r>
        <w:rPr>
          <w:rFonts w:hint="eastAsia"/>
          <w:lang w:eastAsia="zh-CN"/>
        </w:rPr>
        <w:t>2. 下游产业技术迭代催生定制化与形态多样化</w:t>
      </w:r>
    </w:p>
    <w:p w14:paraId="34D733B2">
      <w:pPr>
        <w:pStyle w:val="145"/>
        <w:rPr>
          <w:rFonts w:hint="eastAsia"/>
          <w:lang w:eastAsia="zh-CN"/>
        </w:rPr>
      </w:pPr>
      <w:r>
        <w:rPr>
          <w:rFonts w:hint="eastAsia"/>
          <w:lang w:eastAsia="zh-CN"/>
        </w:rPr>
        <w:t>产业的发展将紧密跟随下游主流应用领域的技术演进路径。半导体制造设备的升级、5G及下一代通信技术的普及、新能源汽车三电系统的创新，均对关键金属部件的形状复杂性、尺寸精度及批次一致性提出新要求。这将推动易切削铍铜合金的产品形态从标准化的棒材、线材，向更具客户特定需求的异型材、预硬化精密切削坯料等方向发展。同时，供应商与下游客户的合作模式将从标准品销售，向共同研发、定制化解决方案深度绑定演进。</w:t>
      </w:r>
    </w:p>
    <w:p w14:paraId="4000EAEB">
      <w:pPr>
        <w:pStyle w:val="145"/>
        <w:rPr>
          <w:rFonts w:hint="eastAsia"/>
          <w:lang w:eastAsia="zh-CN"/>
        </w:rPr>
      </w:pPr>
      <w:r>
        <w:rPr>
          <w:rFonts w:hint="eastAsia"/>
          <w:lang w:eastAsia="zh-CN"/>
        </w:rPr>
        <w:t>3. 环保法规压力加速无铅化与可替代性技术探索</w:t>
      </w:r>
    </w:p>
    <w:p w14:paraId="7E40FDC7">
      <w:pPr>
        <w:pStyle w:val="145"/>
        <w:rPr>
          <w:rFonts w:hint="eastAsia"/>
          <w:lang w:eastAsia="zh-CN"/>
        </w:rPr>
      </w:pPr>
      <w:r>
        <w:rPr>
          <w:rFonts w:hint="eastAsia"/>
          <w:lang w:eastAsia="zh-CN"/>
        </w:rPr>
        <w:t>全球范围内，特别是欧盟等主要市场对有害物质的限制法规日益严格，构成了影响行业技术路线的长期关键变量。尽管目前含铅的易切削铍铜合金（如C17300）在特定豁免下仍可应用，但欧盟RoHS指令中关于铜合金铅豁免条款的持续调整和潜在终止风险，已为行业敲响警钟。这一压力将不可逆转地加速两大方向的技术投入：一是研发性能相近的无铅易切削铍铜合金；二是推动客户端评估和接受其他高性能、更环保的替代材料体系，如新型高强高导铜合金（如C17510因其环保可焊性被视为未来趋势之一）或其他复合金属材料。</w:t>
      </w:r>
    </w:p>
    <w:p w14:paraId="32BB338B">
      <w:pPr>
        <w:pStyle w:val="145"/>
        <w:rPr>
          <w:rFonts w:hint="eastAsia"/>
          <w:lang w:eastAsia="zh-CN"/>
        </w:rPr>
      </w:pPr>
      <w:r>
        <w:rPr>
          <w:rFonts w:hint="eastAsia"/>
          <w:lang w:eastAsia="zh-CN"/>
        </w:rPr>
        <w:t>二、发展机遇及主要驱动因素</w:t>
      </w:r>
    </w:p>
    <w:p w14:paraId="52B531AA">
      <w:pPr>
        <w:pStyle w:val="145"/>
        <w:rPr>
          <w:rFonts w:hint="eastAsia"/>
          <w:lang w:eastAsia="zh-CN"/>
        </w:rPr>
      </w:pPr>
      <w:r>
        <w:rPr>
          <w:rFonts w:hint="eastAsia"/>
          <w:lang w:eastAsia="zh-CN"/>
        </w:rPr>
        <w:t>1. 全球制造业升级与电气化浪潮创造结构性增长空间</w:t>
      </w:r>
    </w:p>
    <w:p w14:paraId="0C3F1C41">
      <w:pPr>
        <w:pStyle w:val="145"/>
        <w:rPr>
          <w:rFonts w:hint="eastAsia"/>
          <w:lang w:eastAsia="zh-CN"/>
        </w:rPr>
      </w:pPr>
      <w:r>
        <w:rPr>
          <w:rFonts w:hint="eastAsia"/>
          <w:lang w:eastAsia="zh-CN"/>
        </w:rPr>
        <w:t>当前，全球主要经济体正经历以智能化、电气化为核心的制造业深刻变革，这为易切削铍铜合金带来了结构性的、持续的需求增长机遇。在汽车领域，电动汽车渗透率的快速提升，直接驱动了高压连接器、电池管理系统触点、高性能继电器等关键部件用量的大幅增加，这些部件对材料的导电、强度及可靠性要求极高。在工业领域，自动化机器人、高端数控机床及精密测量仪器的普及，则扩大了对高精度、长寿命耐磨部件的需求。这些趋势共同构筑了行业发展的底层动力，使其需求与宏观产业升级周期高度绑定。</w:t>
      </w:r>
    </w:p>
    <w:p w14:paraId="61A91C58">
      <w:pPr>
        <w:pStyle w:val="145"/>
        <w:rPr>
          <w:rFonts w:hint="eastAsia"/>
          <w:lang w:eastAsia="zh-CN"/>
        </w:rPr>
      </w:pPr>
      <w:r>
        <w:rPr>
          <w:rFonts w:hint="eastAsia"/>
          <w:lang w:eastAsia="zh-CN"/>
        </w:rPr>
        <w:t>2. 供应链安全考量下的本土化与进口替代机遇</w:t>
      </w:r>
    </w:p>
    <w:p w14:paraId="2FB13AE7">
      <w:pPr>
        <w:pStyle w:val="145"/>
        <w:rPr>
          <w:rFonts w:hint="eastAsia"/>
          <w:lang w:eastAsia="zh-CN"/>
        </w:rPr>
      </w:pPr>
      <w:r>
        <w:rPr>
          <w:rFonts w:hint="eastAsia"/>
          <w:lang w:eastAsia="zh-CN"/>
        </w:rPr>
        <w:t>地缘政治因素与全球供应链重塑，使关键战略材料的自主可控成为各国，尤其是制造业大国的核心关切。铍铜合金作为广泛应用于国防、航空航天及高端电子领域的关键材料，其供应链安全性备受重视。这为中国等国家的本土生产商提供了显著的“进口替代”与市场准入机遇。通过突破高性能铍铜母合金制备、精密加工等关键技术，本土企业有望在满足国内市场需求的同时，逐步切入由少数国际巨头（如Materion、NGK等）主导的全球供应链体系，改变现有的市场竞争格局。</w:t>
      </w:r>
    </w:p>
    <w:p w14:paraId="17D6BFF8">
      <w:pPr>
        <w:pStyle w:val="145"/>
        <w:rPr>
          <w:rFonts w:hint="eastAsia"/>
          <w:lang w:eastAsia="zh-CN"/>
        </w:rPr>
      </w:pPr>
      <w:r>
        <w:rPr>
          <w:rFonts w:hint="eastAsia"/>
          <w:lang w:eastAsia="zh-CN"/>
        </w:rPr>
        <w:t>三、面临的风险与挑战</w:t>
      </w:r>
    </w:p>
    <w:p w14:paraId="248F4E6F">
      <w:pPr>
        <w:pStyle w:val="145"/>
        <w:rPr>
          <w:rFonts w:hint="eastAsia"/>
          <w:lang w:eastAsia="zh-CN"/>
        </w:rPr>
      </w:pPr>
      <w:r>
        <w:rPr>
          <w:rFonts w:hint="eastAsia"/>
          <w:lang w:eastAsia="zh-CN"/>
        </w:rPr>
        <w:t>1. 原材料供应高度集中与严格的健康环保监管构成双重约束</w:t>
      </w:r>
    </w:p>
    <w:p w14:paraId="28C0BACA">
      <w:pPr>
        <w:pStyle w:val="145"/>
        <w:rPr>
          <w:rFonts w:hint="eastAsia"/>
          <w:lang w:eastAsia="zh-CN"/>
        </w:rPr>
      </w:pPr>
      <w:r>
        <w:rPr>
          <w:rFonts w:hint="eastAsia"/>
          <w:lang w:eastAsia="zh-CN"/>
        </w:rPr>
        <w:t>行业面临的首要风险集中于供应链上游与生产环节。一方面，铍作为一种战略性小金属，全球矿产资源及冶炼产能高度集中，导致其供应稳定性和价格易受地缘政治、贸易政策及单一产区运营状况的影响，给中下游企业带来成本波动和断供风险。另一方面，铍及其化合物在生产、加工、回收过程中存在明确的健康与安全风险，受到各国极其严格的监管。例如，在日本，铍被列为“特定第一种化学物质”和“优先采取措施的物质”，对其工作环境浓度有严格限制。这不仅大幅提高了企业的合规成本、生产门槛和安全投入，也使得产能扩张和新项目审批面临巨大挑战。</w:t>
      </w:r>
    </w:p>
    <w:p w14:paraId="69E783F6">
      <w:pPr>
        <w:pStyle w:val="145"/>
        <w:rPr>
          <w:rFonts w:hint="eastAsia"/>
          <w:lang w:eastAsia="zh-CN"/>
        </w:rPr>
      </w:pPr>
      <w:r>
        <w:rPr>
          <w:rFonts w:hint="eastAsia"/>
          <w:lang w:eastAsia="zh-CN"/>
        </w:rPr>
        <w:t>2. 技术替代与法规升级带来的市场侵蚀风险</w:t>
      </w:r>
    </w:p>
    <w:p w14:paraId="60824056">
      <w:pPr>
        <w:pStyle w:val="145"/>
        <w:rPr>
          <w:lang w:eastAsia="zh-CN"/>
        </w:rPr>
      </w:pPr>
      <w:r>
        <w:rPr>
          <w:rFonts w:hint="eastAsia"/>
          <w:lang w:eastAsia="zh-CN"/>
        </w:rPr>
        <w:t>行业长期发展面临来自技术替代和法规持续升级的潜在市场侵蚀。在技术层面，随着材料科学的进步，其他高性能铜合金（如磷青铜、钛青铜等）及金属基复合材料不断改进，在部分非极端性能要求的应用场景中，可能以更低的成本或更好的环保特性形成替代，挤压传统易切削铍铜合金的市场空间。在法规层面，以欧盟RoHS指令为代表的环保法规动态演进是持续性风险。虽然目前含铅铜合金享有豁免，但豁免条款的更新、适用范围收紧乃至未来可能的不再续期，都将直接影响C17300等含铅产品在关键电子电气市场的合法性与竞争力，迫使整个产业链进行被动且可能昂贵的转型。</w:t>
      </w:r>
    </w:p>
    <w:p w14:paraId="720E31E2">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全球</w:t>
      </w:r>
      <w:r>
        <w:rPr>
          <w:lang w:eastAsia="zh-CN"/>
        </w:rPr>
        <w:t>易切削铍铜合金</w:t>
      </w:r>
      <w:r>
        <w:rPr>
          <w:rFonts w:hint="eastAsia"/>
          <w:lang w:eastAsia="zh-CN"/>
        </w:rPr>
        <w:t>市场前5强生产商排名及市场占有率（按收入；基于2</w:t>
      </w:r>
      <w:r>
        <w:rPr>
          <w:lang w:eastAsia="zh-CN"/>
        </w:rPr>
        <w:t>02</w:t>
      </w:r>
      <w:r>
        <w:rPr>
          <w:rFonts w:hint="eastAsia"/>
          <w:lang w:eastAsia="zh-CN"/>
        </w:rPr>
        <w:t>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3773805" cy="3505200"/>
            <wp:effectExtent l="0" t="0" r="0" b="0"/>
            <wp:docPr id="10280705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070530" name="图片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3773805" cy="3505200"/>
                    </a:xfrm>
                    <a:prstGeom prst="rect">
                      <a:avLst/>
                    </a:prstGeom>
                    <a:noFill/>
                  </pic:spPr>
                </pic:pic>
              </a:graphicData>
            </a:graphic>
          </wp:inline>
        </w:drawing>
      </w:r>
    </w:p>
    <w:p w14:paraId="04A43543">
      <w:pPr>
        <w:pStyle w:val="143"/>
        <w:rPr>
          <w:lang w:eastAsia="zh-CN"/>
        </w:rPr>
      </w:pPr>
      <w:r>
        <w:rPr>
          <w:rFonts w:hint="eastAsia"/>
          <w:lang w:eastAsia="zh-CN"/>
        </w:rPr>
        <w:t>来源：QYResearch 化工及材料研究中心。行业处于不断变动之中，最新数据请联系QYResearch咨询。</w:t>
      </w:r>
    </w:p>
    <w:p w14:paraId="6BFBEA87">
      <w:pPr>
        <w:pStyle w:val="145"/>
        <w:rPr>
          <w:lang w:eastAsia="zh-CN"/>
        </w:rPr>
      </w:pPr>
      <w:r>
        <w:rPr>
          <w:rFonts w:hint="eastAsia"/>
          <w:lang w:eastAsia="zh-CN"/>
        </w:rPr>
        <w:t>根据QYResearch头部企业研究中心调研，全球范围内易切削铍铜合金生产商主要包括Materion、NGK Berylco、株洲艾美新材、金江电子、</w:t>
      </w:r>
      <w:r>
        <w:rPr>
          <w:lang w:eastAsia="zh-CN"/>
        </w:rPr>
        <w:t>Smiths Metal Centres</w:t>
      </w:r>
      <w:r>
        <w:rPr>
          <w:rFonts w:hint="eastAsia"/>
          <w:lang w:eastAsia="zh-CN"/>
        </w:rPr>
        <w:t>等。该行业市场集中度高，Materion和NGK Berylco占据了全球大部分的市场份额。</w:t>
      </w:r>
    </w:p>
    <w:p w14:paraId="67BB52B9">
      <w:pPr>
        <w:pStyle w:val="145"/>
        <w:rPr>
          <w:b/>
          <w:bCs/>
          <w:lang w:val="en-US" w:eastAsia="zh-CN"/>
        </w:rPr>
      </w:pPr>
      <w:r>
        <w:rPr>
          <w:rFonts w:hint="eastAsia"/>
          <w:b/>
          <w:bCs/>
          <w:lang w:val="en-US" w:eastAsia="zh-CN"/>
        </w:rPr>
        <w:t>主要企业简介：</w:t>
      </w:r>
    </w:p>
    <w:p w14:paraId="7B0EECE8">
      <w:pPr>
        <w:pStyle w:val="145"/>
        <w:jc w:val="center"/>
        <w:rPr>
          <w:b/>
          <w:bCs/>
          <w:lang w:eastAsia="zh-CN"/>
        </w:rPr>
      </w:pPr>
      <w:r>
        <w:rPr>
          <w:rFonts w:hint="eastAsia"/>
          <w:b/>
          <w:bCs/>
          <w:lang w:eastAsia="zh-CN"/>
        </w:rPr>
        <w:t>Materion</w:t>
      </w:r>
    </w:p>
    <w:p w14:paraId="4A03611A">
      <w:pPr>
        <w:pStyle w:val="145"/>
        <w:jc w:val="center"/>
        <w:rPr>
          <w:b/>
          <w:bCs/>
          <w:lang w:eastAsia="zh-CN"/>
        </w:rPr>
      </w:pPr>
      <w:r>
        <w:drawing>
          <wp:inline distT="0" distB="0" distL="0" distR="0">
            <wp:extent cx="1854200" cy="800735"/>
            <wp:effectExtent l="0" t="0" r="0" b="0"/>
            <wp:docPr id="1466044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6044082" name="图片 1"/>
                    <pic:cNvPicPr>
                      <a:picLocks noChangeAspect="1"/>
                    </pic:cNvPicPr>
                  </pic:nvPicPr>
                  <pic:blipFill>
                    <a:blip r:embed="rId13"/>
                    <a:stretch>
                      <a:fillRect/>
                    </a:stretch>
                  </pic:blipFill>
                  <pic:spPr>
                    <a:xfrm>
                      <a:off x="0" y="0"/>
                      <a:ext cx="1865652" cy="805622"/>
                    </a:xfrm>
                    <a:prstGeom prst="rect">
                      <a:avLst/>
                    </a:prstGeom>
                  </pic:spPr>
                </pic:pic>
              </a:graphicData>
            </a:graphic>
          </wp:inline>
        </w:drawing>
      </w:r>
      <w:bookmarkStart w:id="14" w:name="_GoBack"/>
      <w:bookmarkEnd w:id="14"/>
    </w:p>
    <w:p w14:paraId="34D72E62">
      <w:pPr>
        <w:pStyle w:val="145"/>
        <w:rPr>
          <w:rFonts w:hint="eastAsia"/>
          <w:lang w:eastAsia="zh-CN"/>
        </w:rPr>
      </w:pPr>
      <w:r>
        <w:rPr>
          <w:rFonts w:hint="eastAsia"/>
          <w:lang w:eastAsia="zh-CN"/>
        </w:rPr>
        <w:t>Materion 是一家总部位于美国的全球领先高性能先进材料企业，长期服务于航空航天、电子、电气、汽车、国防、能源及半导体等高端制造领域。公司以材料科学为核心竞争力，业务覆盖先进金属材料、功能薄膜、工程合金及相关解决方案，具备从材料研发、规模化制造到全球化供应与技术支持的完整能力体系。</w:t>
      </w:r>
    </w:p>
    <w:p w14:paraId="6957D0D5">
      <w:pPr>
        <w:pStyle w:val="145"/>
        <w:rPr>
          <w:lang w:eastAsia="zh-CN"/>
        </w:rPr>
      </w:pPr>
      <w:r>
        <w:rPr>
          <w:rFonts w:hint="eastAsia"/>
          <w:lang w:eastAsia="zh-CN"/>
        </w:rPr>
        <w:t>在铍铜合金领域，Materion 是全球最具代表性的供应商之一，产品体系覆盖高强度、高导电及易切削等多种性能取向，可提供棒材、线材、带材、板材及管材等多种形态。其铍铜合金以强度与导电性平衡优异、组织稳定性高和加工一致性好著称，能够满足精密零部件在复杂工况下的长期可靠性要求。公司同时持续推进低铅化和环保制造路线，以应对全球法规趋严与下游客户可持续发展需求。凭借技术积累、产品可靠性与全球客户基础，Materion 在全球铍铜合金高端市场中保持长期主导地位。</w:t>
      </w:r>
    </w:p>
    <w:p w14:paraId="18D907F3">
      <w:pPr>
        <w:pStyle w:val="145"/>
        <w:jc w:val="center"/>
        <w:rPr>
          <w:b/>
          <w:bCs/>
          <w:lang w:eastAsia="zh-CN"/>
        </w:rPr>
      </w:pPr>
      <w:r>
        <w:rPr>
          <w:rFonts w:hint="eastAsia"/>
          <w:b/>
          <w:bCs/>
          <w:lang w:eastAsia="zh-CN"/>
        </w:rPr>
        <w:t>NGK Berylco</w:t>
      </w:r>
    </w:p>
    <w:p w14:paraId="400B35CE">
      <w:pPr>
        <w:pStyle w:val="145"/>
        <w:jc w:val="center"/>
        <w:rPr>
          <w:b/>
          <w:bCs/>
          <w:lang w:eastAsia="zh-CN"/>
        </w:rPr>
      </w:pPr>
      <w:r>
        <w:drawing>
          <wp:inline distT="0" distB="0" distL="0" distR="0">
            <wp:extent cx="2311400" cy="408940"/>
            <wp:effectExtent l="0" t="0" r="0" b="0"/>
            <wp:docPr id="10049403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940315" name="图片 1"/>
                    <pic:cNvPicPr>
                      <a:picLocks noChangeAspect="1"/>
                    </pic:cNvPicPr>
                  </pic:nvPicPr>
                  <pic:blipFill>
                    <a:blip r:embed="rId14"/>
                    <a:stretch>
                      <a:fillRect/>
                    </a:stretch>
                  </pic:blipFill>
                  <pic:spPr>
                    <a:xfrm>
                      <a:off x="0" y="0"/>
                      <a:ext cx="2335392" cy="413286"/>
                    </a:xfrm>
                    <a:prstGeom prst="rect">
                      <a:avLst/>
                    </a:prstGeom>
                  </pic:spPr>
                </pic:pic>
              </a:graphicData>
            </a:graphic>
          </wp:inline>
        </w:drawing>
      </w:r>
    </w:p>
    <w:p w14:paraId="2A68C336">
      <w:pPr>
        <w:pStyle w:val="145"/>
        <w:rPr>
          <w:rFonts w:hint="eastAsia"/>
          <w:lang w:eastAsia="zh-CN"/>
        </w:rPr>
      </w:pPr>
      <w:r>
        <w:rPr>
          <w:rFonts w:hint="eastAsia"/>
          <w:lang w:eastAsia="zh-CN"/>
        </w:rPr>
        <w:t>NGK Berylco 是日本 NGK 集团旗下专注于铍铜合金材料的核心业务单元，在全球铍铜合金产业中具有重要影响力。公司长期专注铜-铍合金的研发、生产与销售，形成了以稳定质量、完善规格和可靠供应著称的产品体系，并通过全球化运营服务多个主要工业市场。</w:t>
      </w:r>
    </w:p>
    <w:p w14:paraId="120C8A99">
      <w:pPr>
        <w:pStyle w:val="145"/>
        <w:rPr>
          <w:lang w:eastAsia="zh-CN"/>
        </w:rPr>
      </w:pPr>
      <w:r>
        <w:rPr>
          <w:rFonts w:hint="eastAsia"/>
          <w:lang w:eastAsia="zh-CN"/>
        </w:rPr>
        <w:t>在铍铜合金业务方面，NGK Berylco 提供覆盖高强度、易切削及中等强度等级的多系列产品，可根据客户需求供应棒材、线材、带材及半成品形态。其制造工艺强调成分控制与热处理一致性，使材料在强度、导电性、耐疲劳性能及加工稳定性方面保持良好平衡。公司高度重视安全生产与合规管理，并持续推进资源回收与循环利用体系建设，以降低材料全生命周期的环境负担。凭借长期积累的工艺经验和全球服务能力，NGK Berylco 在高可靠性铍铜材料市场中占据稳固地位。</w:t>
      </w:r>
    </w:p>
    <w:p w14:paraId="55942725">
      <w:pPr>
        <w:pStyle w:val="145"/>
        <w:jc w:val="center"/>
        <w:rPr>
          <w:b/>
          <w:bCs/>
          <w:lang w:eastAsia="zh-CN"/>
        </w:rPr>
      </w:pPr>
      <w:r>
        <w:rPr>
          <w:rFonts w:hint="eastAsia"/>
          <w:b/>
          <w:bCs/>
          <w:lang w:eastAsia="zh-CN"/>
        </w:rPr>
        <w:t>株洲艾美新材</w:t>
      </w:r>
    </w:p>
    <w:p w14:paraId="72E5F613">
      <w:pPr>
        <w:pStyle w:val="145"/>
        <w:jc w:val="center"/>
        <w:rPr>
          <w:b/>
          <w:bCs/>
          <w:lang w:eastAsia="zh-CN"/>
        </w:rPr>
      </w:pPr>
      <w:r>
        <w:drawing>
          <wp:inline distT="0" distB="0" distL="0" distR="0">
            <wp:extent cx="2618740" cy="675640"/>
            <wp:effectExtent l="0" t="0" r="0" b="0"/>
            <wp:docPr id="13504412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441276" name="图片 1"/>
                    <pic:cNvPicPr>
                      <a:picLocks noChangeAspect="1"/>
                    </pic:cNvPicPr>
                  </pic:nvPicPr>
                  <pic:blipFill>
                    <a:blip r:embed="rId15"/>
                    <a:stretch>
                      <a:fillRect/>
                    </a:stretch>
                  </pic:blipFill>
                  <pic:spPr>
                    <a:xfrm>
                      <a:off x="0" y="0"/>
                      <a:ext cx="2619048" cy="676190"/>
                    </a:xfrm>
                    <a:prstGeom prst="rect">
                      <a:avLst/>
                    </a:prstGeom>
                  </pic:spPr>
                </pic:pic>
              </a:graphicData>
            </a:graphic>
          </wp:inline>
        </w:drawing>
      </w:r>
    </w:p>
    <w:p w14:paraId="51B7E22E">
      <w:pPr>
        <w:pStyle w:val="145"/>
        <w:rPr>
          <w:rFonts w:hint="eastAsia"/>
          <w:lang w:eastAsia="zh-CN"/>
        </w:rPr>
      </w:pPr>
      <w:r>
        <w:rPr>
          <w:rFonts w:hint="eastAsia"/>
          <w:lang w:eastAsia="zh-CN"/>
        </w:rPr>
        <w:t>株洲艾美新材料有限公司是一家位于中国株洲的高性能铜合金材料企业，专注于铍铜及相关特种合金材料的研发与制造，服务于电子、连接器、精密机械等领域。公司围绕易切削铍铜合金建立了较为完善的产品体系，在棒材和线材等形态上具备规模化生产能力，并逐步向高一致性、高稳定性方向升级。</w:t>
      </w:r>
    </w:p>
    <w:p w14:paraId="52292D7D">
      <w:pPr>
        <w:pStyle w:val="145"/>
        <w:rPr>
          <w:lang w:eastAsia="zh-CN"/>
        </w:rPr>
      </w:pPr>
      <w:r>
        <w:rPr>
          <w:rFonts w:hint="eastAsia"/>
          <w:lang w:eastAsia="zh-CN"/>
        </w:rPr>
        <w:t>在铍铜合金业务方面，艾美新材重点布局易切削铍铜及高加工性合金材料，强调材料在机加工效率、尺寸稳定性和综合力学性能之间的平衡。公司通过持续工艺优化和质量控制，提高产品在中高端应用场景中的适配能力，并积极推进国产化替代进程。依托区域产业基础和制造经验积累，艾美新材正逐步扩大在国内外铍铜合金市场中的影响力，向更高附加值和更高可靠性的材料方向发展。</w:t>
      </w:r>
    </w:p>
    <w:p w14:paraId="11C62BDC">
      <w:pPr>
        <w:pStyle w:val="148"/>
        <w:numPr>
          <w:numId w:val="0"/>
        </w:numPr>
        <w:ind w:left="357" w:leftChars="0" w:hanging="357" w:firstLineChars="0"/>
        <w:rPr>
          <w:lang w:eastAsia="zh-CN"/>
        </w:rPr>
      </w:pPr>
      <w:r>
        <w:rPr>
          <w:rFonts w:hint="default" w:ascii="Tahoma" w:hAnsi="Tahoma" w:eastAsia="宋体" w:cs="Arial"/>
          <w:b/>
          <w:color w:val="FF8200"/>
          <w:kern w:val="0"/>
          <w:sz w:val="21"/>
          <w:szCs w:val="22"/>
          <w:lang w:val="en-IN" w:eastAsia="zh-CN" w:bidi="ar-SA"/>
        </w:rPr>
        <w:t xml:space="preserve">图.   </w:t>
      </w:r>
      <w:r>
        <w:rPr>
          <w:rFonts w:hint="eastAsia"/>
          <w:lang w:eastAsia="zh-CN"/>
        </w:rPr>
        <w:t>易切削铍铜合金，全球市场规模，按产品类型细分，棒材处于主导地位</w:t>
      </w:r>
    </w:p>
    <w:p w14:paraId="7A8D4FA4">
      <w:pPr>
        <w:pStyle w:val="145"/>
        <w:rPr>
          <w:lang w:eastAsia="zh-CN"/>
        </w:rPr>
      </w:pPr>
      <w:r>
        <w:rPr>
          <w:lang w:eastAsia="zh-CN"/>
        </w:rPr>
        <w:drawing>
          <wp:inline distT="0" distB="0" distL="0" distR="0">
            <wp:extent cx="6638925" cy="3060700"/>
            <wp:effectExtent l="0" t="0" r="9525" b="6350"/>
            <wp:docPr id="162605233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052334" name="图片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14:paraId="27F0E1F9">
      <w:pPr>
        <w:pStyle w:val="143"/>
        <w:rPr>
          <w:rFonts w:hint="eastAsia"/>
          <w:lang w:eastAsia="zh-CN"/>
        </w:rPr>
      </w:pPr>
      <w:r>
        <w:rPr>
          <w:rFonts w:hint="eastAsia"/>
          <w:lang w:eastAsia="zh-CN"/>
        </w:rPr>
        <w:t>来源：QYResearch化工及材料研究中心</w:t>
      </w:r>
    </w:p>
    <w:p w14:paraId="07A95001">
      <w:pPr>
        <w:pStyle w:val="145"/>
        <w:rPr>
          <w:lang w:eastAsia="zh-CN"/>
        </w:rPr>
      </w:pPr>
      <w:r>
        <w:rPr>
          <w:lang w:eastAsia="zh-CN"/>
        </w:rPr>
        <w:br w:type="page"/>
      </w:r>
      <w:bookmarkEnd w:id="1"/>
      <w:bookmarkEnd w:id="2"/>
      <w:bookmarkEnd w:id="3"/>
      <w:bookmarkEnd w:id="4"/>
      <w:bookmarkEnd w:id="5"/>
      <w:bookmarkEnd w:id="6"/>
      <w:bookmarkEnd w:id="7"/>
      <w:bookmarkEnd w:id="8"/>
      <w:bookmarkEnd w:id="9"/>
      <w:bookmarkEnd w:id="10"/>
      <w:bookmarkEnd w:id="11"/>
      <w:bookmarkEnd w:id="12"/>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9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4AD"/>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BA"/>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6FD4"/>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3B3"/>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228"/>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29D"/>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B60"/>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7E"/>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2FB1"/>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3D9"/>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EE6"/>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5D"/>
    <w:rsid w:val="000E4C65"/>
    <w:rsid w:val="000E5014"/>
    <w:rsid w:val="000E5225"/>
    <w:rsid w:val="000E5230"/>
    <w:rsid w:val="000E526F"/>
    <w:rsid w:val="000E5597"/>
    <w:rsid w:val="000E56E5"/>
    <w:rsid w:val="000E5710"/>
    <w:rsid w:val="000E5A3C"/>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D2"/>
    <w:rsid w:val="000F5ADC"/>
    <w:rsid w:val="000F5BC7"/>
    <w:rsid w:val="000F5E70"/>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414"/>
    <w:rsid w:val="00100681"/>
    <w:rsid w:val="00100783"/>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5E16"/>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A2"/>
    <w:rsid w:val="001114E1"/>
    <w:rsid w:val="001115F4"/>
    <w:rsid w:val="001118A5"/>
    <w:rsid w:val="00111C6C"/>
    <w:rsid w:val="00111D2D"/>
    <w:rsid w:val="001120B8"/>
    <w:rsid w:val="00112295"/>
    <w:rsid w:val="0011256C"/>
    <w:rsid w:val="00112597"/>
    <w:rsid w:val="00112B3A"/>
    <w:rsid w:val="00112CE6"/>
    <w:rsid w:val="00113041"/>
    <w:rsid w:val="0011351C"/>
    <w:rsid w:val="00113610"/>
    <w:rsid w:val="00113846"/>
    <w:rsid w:val="001138BD"/>
    <w:rsid w:val="001139D3"/>
    <w:rsid w:val="00113A8E"/>
    <w:rsid w:val="00113EF5"/>
    <w:rsid w:val="00113F15"/>
    <w:rsid w:val="00113F3F"/>
    <w:rsid w:val="00113FA8"/>
    <w:rsid w:val="001143DD"/>
    <w:rsid w:val="00114453"/>
    <w:rsid w:val="00114AC0"/>
    <w:rsid w:val="00114B33"/>
    <w:rsid w:val="00114CE8"/>
    <w:rsid w:val="00114D13"/>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8D5"/>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6E0B"/>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469"/>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CF8"/>
    <w:rsid w:val="00146DE3"/>
    <w:rsid w:val="00146E00"/>
    <w:rsid w:val="00146E34"/>
    <w:rsid w:val="00146F72"/>
    <w:rsid w:val="00146FD0"/>
    <w:rsid w:val="001470EE"/>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55A"/>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69F"/>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1D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887"/>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553"/>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E3B"/>
    <w:rsid w:val="001A3F29"/>
    <w:rsid w:val="001A452E"/>
    <w:rsid w:val="001A497E"/>
    <w:rsid w:val="001A4AC4"/>
    <w:rsid w:val="001A4E82"/>
    <w:rsid w:val="001A4FFE"/>
    <w:rsid w:val="001A5277"/>
    <w:rsid w:val="001A53CE"/>
    <w:rsid w:val="001A551D"/>
    <w:rsid w:val="001A56A4"/>
    <w:rsid w:val="001A5A0D"/>
    <w:rsid w:val="001A5CF0"/>
    <w:rsid w:val="001A5DA3"/>
    <w:rsid w:val="001A5E2B"/>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02"/>
    <w:rsid w:val="001B12FC"/>
    <w:rsid w:val="001B1514"/>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24E"/>
    <w:rsid w:val="001E73E8"/>
    <w:rsid w:val="001E746F"/>
    <w:rsid w:val="001E75FD"/>
    <w:rsid w:val="001E7AA9"/>
    <w:rsid w:val="001E7CDB"/>
    <w:rsid w:val="001F0724"/>
    <w:rsid w:val="001F0743"/>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1D7"/>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78"/>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1E11"/>
    <w:rsid w:val="00232028"/>
    <w:rsid w:val="0023230E"/>
    <w:rsid w:val="00233473"/>
    <w:rsid w:val="002334EE"/>
    <w:rsid w:val="002337D5"/>
    <w:rsid w:val="002339C4"/>
    <w:rsid w:val="00233E25"/>
    <w:rsid w:val="00234013"/>
    <w:rsid w:val="00234239"/>
    <w:rsid w:val="002344BE"/>
    <w:rsid w:val="002345D4"/>
    <w:rsid w:val="00234656"/>
    <w:rsid w:val="0023472B"/>
    <w:rsid w:val="00234D55"/>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0F42"/>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C6E"/>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83B"/>
    <w:rsid w:val="00263B67"/>
    <w:rsid w:val="00263DE6"/>
    <w:rsid w:val="00264672"/>
    <w:rsid w:val="00264B58"/>
    <w:rsid w:val="00264DC0"/>
    <w:rsid w:val="00264DF2"/>
    <w:rsid w:val="00264E82"/>
    <w:rsid w:val="0026505C"/>
    <w:rsid w:val="002654A6"/>
    <w:rsid w:val="00265598"/>
    <w:rsid w:val="002656BF"/>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4D"/>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4AA"/>
    <w:rsid w:val="002847FD"/>
    <w:rsid w:val="00284866"/>
    <w:rsid w:val="00284CA6"/>
    <w:rsid w:val="00284DE6"/>
    <w:rsid w:val="00284F7B"/>
    <w:rsid w:val="0028509D"/>
    <w:rsid w:val="002850E4"/>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BAF"/>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6BA"/>
    <w:rsid w:val="00294A07"/>
    <w:rsid w:val="00294CF1"/>
    <w:rsid w:val="00294E94"/>
    <w:rsid w:val="00294F13"/>
    <w:rsid w:val="00294F4C"/>
    <w:rsid w:val="00295099"/>
    <w:rsid w:val="002957E1"/>
    <w:rsid w:val="00295899"/>
    <w:rsid w:val="00295953"/>
    <w:rsid w:val="00295B11"/>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2C77"/>
    <w:rsid w:val="002A31C8"/>
    <w:rsid w:val="002A333B"/>
    <w:rsid w:val="002A3A89"/>
    <w:rsid w:val="002A3AD9"/>
    <w:rsid w:val="002A3CF7"/>
    <w:rsid w:val="002A3DE9"/>
    <w:rsid w:val="002A3DFF"/>
    <w:rsid w:val="002A3FA9"/>
    <w:rsid w:val="002A4186"/>
    <w:rsid w:val="002A4B0B"/>
    <w:rsid w:val="002A4C05"/>
    <w:rsid w:val="002A5111"/>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42E"/>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2D9E"/>
    <w:rsid w:val="002D304B"/>
    <w:rsid w:val="002D3177"/>
    <w:rsid w:val="002D339D"/>
    <w:rsid w:val="002D3B10"/>
    <w:rsid w:val="002D3CC0"/>
    <w:rsid w:val="002D3FFA"/>
    <w:rsid w:val="002D417E"/>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63A"/>
    <w:rsid w:val="002D7A2F"/>
    <w:rsid w:val="002D7EAC"/>
    <w:rsid w:val="002D7F80"/>
    <w:rsid w:val="002D7FF9"/>
    <w:rsid w:val="002E0025"/>
    <w:rsid w:val="002E003E"/>
    <w:rsid w:val="002E0197"/>
    <w:rsid w:val="002E01D4"/>
    <w:rsid w:val="002E0333"/>
    <w:rsid w:val="002E0437"/>
    <w:rsid w:val="002E0C5D"/>
    <w:rsid w:val="002E132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57"/>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34E"/>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91"/>
    <w:rsid w:val="003072EF"/>
    <w:rsid w:val="003078F6"/>
    <w:rsid w:val="00307960"/>
    <w:rsid w:val="003079DF"/>
    <w:rsid w:val="00307B66"/>
    <w:rsid w:val="00307DBB"/>
    <w:rsid w:val="00307F90"/>
    <w:rsid w:val="00307FA5"/>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3B95"/>
    <w:rsid w:val="003140B8"/>
    <w:rsid w:val="0031443F"/>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0EA4"/>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68"/>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8"/>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92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1A4"/>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295"/>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5C61"/>
    <w:rsid w:val="0036624A"/>
    <w:rsid w:val="003667C4"/>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892"/>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4F7A"/>
    <w:rsid w:val="00394F93"/>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139"/>
    <w:rsid w:val="003A24E6"/>
    <w:rsid w:val="003A2631"/>
    <w:rsid w:val="003A2D48"/>
    <w:rsid w:val="003A2E51"/>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889"/>
    <w:rsid w:val="003B4A52"/>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81D"/>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37"/>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921"/>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9C3"/>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4C4"/>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7"/>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1FBE"/>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193"/>
    <w:rsid w:val="004306C0"/>
    <w:rsid w:val="00430E72"/>
    <w:rsid w:val="00430FE5"/>
    <w:rsid w:val="004310A4"/>
    <w:rsid w:val="00431560"/>
    <w:rsid w:val="00431822"/>
    <w:rsid w:val="00431CDE"/>
    <w:rsid w:val="004324C7"/>
    <w:rsid w:val="004329AF"/>
    <w:rsid w:val="00432A16"/>
    <w:rsid w:val="00432A59"/>
    <w:rsid w:val="00432A63"/>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8B9"/>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6AC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291D"/>
    <w:rsid w:val="00452B2B"/>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4DD1"/>
    <w:rsid w:val="004653AD"/>
    <w:rsid w:val="0046559F"/>
    <w:rsid w:val="004655BD"/>
    <w:rsid w:val="00465D29"/>
    <w:rsid w:val="00465F93"/>
    <w:rsid w:val="00465FFE"/>
    <w:rsid w:val="0046607F"/>
    <w:rsid w:val="0046623E"/>
    <w:rsid w:val="00466314"/>
    <w:rsid w:val="00466844"/>
    <w:rsid w:val="00466912"/>
    <w:rsid w:val="00466C34"/>
    <w:rsid w:val="00466D4A"/>
    <w:rsid w:val="00466D91"/>
    <w:rsid w:val="00466E43"/>
    <w:rsid w:val="00466E74"/>
    <w:rsid w:val="004673A5"/>
    <w:rsid w:val="00467552"/>
    <w:rsid w:val="0046756D"/>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787"/>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3EA"/>
    <w:rsid w:val="004A48A2"/>
    <w:rsid w:val="004A49DE"/>
    <w:rsid w:val="004A4DE0"/>
    <w:rsid w:val="004A4EC0"/>
    <w:rsid w:val="004A4F0D"/>
    <w:rsid w:val="004A542B"/>
    <w:rsid w:val="004A5817"/>
    <w:rsid w:val="004A58B7"/>
    <w:rsid w:val="004A5E79"/>
    <w:rsid w:val="004A6093"/>
    <w:rsid w:val="004A644F"/>
    <w:rsid w:val="004A69CC"/>
    <w:rsid w:val="004A6AC0"/>
    <w:rsid w:val="004A6C07"/>
    <w:rsid w:val="004A6CDF"/>
    <w:rsid w:val="004A7118"/>
    <w:rsid w:val="004A7352"/>
    <w:rsid w:val="004A7358"/>
    <w:rsid w:val="004A744A"/>
    <w:rsid w:val="004A763D"/>
    <w:rsid w:val="004A7959"/>
    <w:rsid w:val="004A7B09"/>
    <w:rsid w:val="004A7C5B"/>
    <w:rsid w:val="004A7C63"/>
    <w:rsid w:val="004B0160"/>
    <w:rsid w:val="004B02BC"/>
    <w:rsid w:val="004B03BD"/>
    <w:rsid w:val="004B03CE"/>
    <w:rsid w:val="004B0C40"/>
    <w:rsid w:val="004B0D2C"/>
    <w:rsid w:val="004B0DC4"/>
    <w:rsid w:val="004B0F16"/>
    <w:rsid w:val="004B1518"/>
    <w:rsid w:val="004B15B6"/>
    <w:rsid w:val="004B1B18"/>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6A"/>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752"/>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6FA9"/>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A48"/>
    <w:rsid w:val="004F1B15"/>
    <w:rsid w:val="004F1E92"/>
    <w:rsid w:val="004F235A"/>
    <w:rsid w:val="004F256C"/>
    <w:rsid w:val="004F2911"/>
    <w:rsid w:val="004F2A2C"/>
    <w:rsid w:val="004F2CB8"/>
    <w:rsid w:val="004F2D8E"/>
    <w:rsid w:val="004F2EDB"/>
    <w:rsid w:val="004F3002"/>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6E3"/>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0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44"/>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3A"/>
    <w:rsid w:val="00512BF2"/>
    <w:rsid w:val="00513992"/>
    <w:rsid w:val="00513A4C"/>
    <w:rsid w:val="00513BA7"/>
    <w:rsid w:val="00513C07"/>
    <w:rsid w:val="00513C30"/>
    <w:rsid w:val="00513D73"/>
    <w:rsid w:val="00513F02"/>
    <w:rsid w:val="005140D5"/>
    <w:rsid w:val="005142B1"/>
    <w:rsid w:val="00514764"/>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6F4"/>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4"/>
    <w:rsid w:val="00560463"/>
    <w:rsid w:val="00560BF4"/>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76E"/>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B28"/>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018"/>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1F4"/>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682"/>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E87"/>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AF6"/>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24D"/>
    <w:rsid w:val="005F03A3"/>
    <w:rsid w:val="005F053B"/>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5DA"/>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EF8"/>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66B"/>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8BC"/>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73A"/>
    <w:rsid w:val="00682B77"/>
    <w:rsid w:val="00682DCB"/>
    <w:rsid w:val="00682F95"/>
    <w:rsid w:val="006830F5"/>
    <w:rsid w:val="0068354C"/>
    <w:rsid w:val="0068399E"/>
    <w:rsid w:val="00683B6D"/>
    <w:rsid w:val="00683BFA"/>
    <w:rsid w:val="00683C2A"/>
    <w:rsid w:val="00684076"/>
    <w:rsid w:val="00684208"/>
    <w:rsid w:val="00684462"/>
    <w:rsid w:val="00684B5E"/>
    <w:rsid w:val="00684C1D"/>
    <w:rsid w:val="00684D98"/>
    <w:rsid w:val="0068549F"/>
    <w:rsid w:val="006855C8"/>
    <w:rsid w:val="00685936"/>
    <w:rsid w:val="00685D0A"/>
    <w:rsid w:val="00685D9C"/>
    <w:rsid w:val="0068617D"/>
    <w:rsid w:val="006861C0"/>
    <w:rsid w:val="00686219"/>
    <w:rsid w:val="00686335"/>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50B"/>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393"/>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AB8"/>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758"/>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7F8"/>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BD0"/>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0ED2"/>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56C"/>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728"/>
    <w:rsid w:val="006F37AD"/>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3DB"/>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26A"/>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0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61D"/>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086"/>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14B"/>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3DB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9F6"/>
    <w:rsid w:val="00797B0C"/>
    <w:rsid w:val="00797C82"/>
    <w:rsid w:val="00797EB9"/>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39B"/>
    <w:rsid w:val="007B0BDB"/>
    <w:rsid w:val="007B0DB4"/>
    <w:rsid w:val="007B1028"/>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79A"/>
    <w:rsid w:val="007B48A0"/>
    <w:rsid w:val="007B48BF"/>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18F"/>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EB9"/>
    <w:rsid w:val="007D4F40"/>
    <w:rsid w:val="007D506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3"/>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69"/>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26C"/>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2B3"/>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3"/>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AB"/>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29"/>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A2C"/>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431"/>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34A"/>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BD0"/>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83D"/>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0FA0"/>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3E03"/>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EFA"/>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32E"/>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6DA"/>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A"/>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9C6"/>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3D2"/>
    <w:rsid w:val="008D3847"/>
    <w:rsid w:val="008D3A80"/>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91"/>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726"/>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B1F"/>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2BE"/>
    <w:rsid w:val="00921438"/>
    <w:rsid w:val="00921671"/>
    <w:rsid w:val="00921AE4"/>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9F3"/>
    <w:rsid w:val="00930B63"/>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21C"/>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B35"/>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ABC"/>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8C0"/>
    <w:rsid w:val="00971AAB"/>
    <w:rsid w:val="00971B69"/>
    <w:rsid w:val="00971DF6"/>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B8A"/>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28"/>
    <w:rsid w:val="009A0D88"/>
    <w:rsid w:val="009A0E10"/>
    <w:rsid w:val="009A0E9C"/>
    <w:rsid w:val="009A0FBC"/>
    <w:rsid w:val="009A1685"/>
    <w:rsid w:val="009A21A5"/>
    <w:rsid w:val="009A27AA"/>
    <w:rsid w:val="009A2EE6"/>
    <w:rsid w:val="009A31C1"/>
    <w:rsid w:val="009A3566"/>
    <w:rsid w:val="009A3AF5"/>
    <w:rsid w:val="009A3C46"/>
    <w:rsid w:val="009A3F3B"/>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23"/>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0EF"/>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DF3"/>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4B"/>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11"/>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48"/>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77"/>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0E7"/>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88"/>
    <w:rsid w:val="00A444CF"/>
    <w:rsid w:val="00A44707"/>
    <w:rsid w:val="00A44794"/>
    <w:rsid w:val="00A448CD"/>
    <w:rsid w:val="00A449DC"/>
    <w:rsid w:val="00A44A24"/>
    <w:rsid w:val="00A44C0B"/>
    <w:rsid w:val="00A450F0"/>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48"/>
    <w:rsid w:val="00A55385"/>
    <w:rsid w:val="00A558FD"/>
    <w:rsid w:val="00A55C0F"/>
    <w:rsid w:val="00A561D6"/>
    <w:rsid w:val="00A56716"/>
    <w:rsid w:val="00A568F8"/>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1FE1"/>
    <w:rsid w:val="00A622A6"/>
    <w:rsid w:val="00A624B0"/>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1"/>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1E65"/>
    <w:rsid w:val="00A72061"/>
    <w:rsid w:val="00A72101"/>
    <w:rsid w:val="00A72160"/>
    <w:rsid w:val="00A7222A"/>
    <w:rsid w:val="00A7227C"/>
    <w:rsid w:val="00A72747"/>
    <w:rsid w:val="00A72A80"/>
    <w:rsid w:val="00A72F3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36"/>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A71"/>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EE7"/>
    <w:rsid w:val="00AC2F47"/>
    <w:rsid w:val="00AC3296"/>
    <w:rsid w:val="00AC3591"/>
    <w:rsid w:val="00AC362C"/>
    <w:rsid w:val="00AC3A08"/>
    <w:rsid w:val="00AC3C78"/>
    <w:rsid w:val="00AC3F8F"/>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08B"/>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43"/>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346"/>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737"/>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26C"/>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78C"/>
    <w:rsid w:val="00B11816"/>
    <w:rsid w:val="00B118B2"/>
    <w:rsid w:val="00B11D10"/>
    <w:rsid w:val="00B12395"/>
    <w:rsid w:val="00B12985"/>
    <w:rsid w:val="00B12A89"/>
    <w:rsid w:val="00B130D5"/>
    <w:rsid w:val="00B132C3"/>
    <w:rsid w:val="00B13358"/>
    <w:rsid w:val="00B134D6"/>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18"/>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4C50"/>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0F11"/>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51A"/>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D92"/>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A4"/>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1C2"/>
    <w:rsid w:val="00B944FA"/>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3B3"/>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67D"/>
    <w:rsid w:val="00BA7AA0"/>
    <w:rsid w:val="00BA7BCD"/>
    <w:rsid w:val="00BA7BDB"/>
    <w:rsid w:val="00BA7C40"/>
    <w:rsid w:val="00BB00D7"/>
    <w:rsid w:val="00BB014E"/>
    <w:rsid w:val="00BB0213"/>
    <w:rsid w:val="00BB05A5"/>
    <w:rsid w:val="00BB0795"/>
    <w:rsid w:val="00BB0C62"/>
    <w:rsid w:val="00BB1903"/>
    <w:rsid w:val="00BB192A"/>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D56"/>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6B1"/>
    <w:rsid w:val="00BF4930"/>
    <w:rsid w:val="00BF49B6"/>
    <w:rsid w:val="00BF4B1C"/>
    <w:rsid w:val="00BF4BBE"/>
    <w:rsid w:val="00BF4DD4"/>
    <w:rsid w:val="00BF4DEB"/>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B4"/>
    <w:rsid w:val="00C173D6"/>
    <w:rsid w:val="00C17456"/>
    <w:rsid w:val="00C17591"/>
    <w:rsid w:val="00C1794E"/>
    <w:rsid w:val="00C17A26"/>
    <w:rsid w:val="00C17A66"/>
    <w:rsid w:val="00C17BAC"/>
    <w:rsid w:val="00C17C1F"/>
    <w:rsid w:val="00C17D20"/>
    <w:rsid w:val="00C17FB6"/>
    <w:rsid w:val="00C20015"/>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1D3"/>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E5D"/>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BDB"/>
    <w:rsid w:val="00C61C6F"/>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1BD"/>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B21"/>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40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978"/>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AC"/>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7C4"/>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8AF"/>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4B78"/>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EA8"/>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9B5"/>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1D"/>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98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4D5"/>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11"/>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86C"/>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49"/>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611"/>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3F"/>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36"/>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6B"/>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E30"/>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37BA"/>
    <w:rsid w:val="00D94045"/>
    <w:rsid w:val="00D942F1"/>
    <w:rsid w:val="00D94628"/>
    <w:rsid w:val="00D94673"/>
    <w:rsid w:val="00D947AF"/>
    <w:rsid w:val="00D948D9"/>
    <w:rsid w:val="00D94911"/>
    <w:rsid w:val="00D94948"/>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8E5"/>
    <w:rsid w:val="00DA1B60"/>
    <w:rsid w:val="00DA1CCF"/>
    <w:rsid w:val="00DA209F"/>
    <w:rsid w:val="00DA2150"/>
    <w:rsid w:val="00DA21E6"/>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25"/>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4F4"/>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B7983"/>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4F"/>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3F7"/>
    <w:rsid w:val="00DD668E"/>
    <w:rsid w:val="00DD6984"/>
    <w:rsid w:val="00DD6986"/>
    <w:rsid w:val="00DD6A19"/>
    <w:rsid w:val="00DD6A2F"/>
    <w:rsid w:val="00DD6E1D"/>
    <w:rsid w:val="00DD6F6E"/>
    <w:rsid w:val="00DD7100"/>
    <w:rsid w:val="00DD733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6F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1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9CD"/>
    <w:rsid w:val="00E05A7E"/>
    <w:rsid w:val="00E05B79"/>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41F"/>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221"/>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1C"/>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66"/>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837"/>
    <w:rsid w:val="00E55AB6"/>
    <w:rsid w:val="00E55BCD"/>
    <w:rsid w:val="00E55C52"/>
    <w:rsid w:val="00E55CA2"/>
    <w:rsid w:val="00E55EFE"/>
    <w:rsid w:val="00E5603C"/>
    <w:rsid w:val="00E5625D"/>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DB1"/>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99B"/>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1FD"/>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9BB"/>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59"/>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6F3F"/>
    <w:rsid w:val="00E97225"/>
    <w:rsid w:val="00E97362"/>
    <w:rsid w:val="00E97BDE"/>
    <w:rsid w:val="00E97E00"/>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BA"/>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8D4"/>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92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19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3F63"/>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8A4"/>
    <w:rsid w:val="00EF7965"/>
    <w:rsid w:val="00EF7AF0"/>
    <w:rsid w:val="00EF7EBF"/>
    <w:rsid w:val="00EF7F7F"/>
    <w:rsid w:val="00EF7F96"/>
    <w:rsid w:val="00EF7FEE"/>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5D8"/>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3F"/>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9EA"/>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1DE"/>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1CB"/>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41A"/>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529"/>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9D"/>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C3D"/>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4FDF"/>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B90"/>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C6"/>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188"/>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7D1"/>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456"/>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7C3"/>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218"/>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276C4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7</Pages>
  <Words>3767</Words>
  <Characters>4330</Characters>
  <Lines>81</Lines>
  <Paragraphs>41</Paragraphs>
  <TotalTime>567</TotalTime>
  <ScaleCrop>false</ScaleCrop>
  <LinksUpToDate>false</LinksUpToDate>
  <CharactersWithSpaces>4373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2024-09-25T01:42:00Z</dcterms:created>
  <dc:creator>yangj</dc:creator>
  <cp:lastModifiedBy>鼕鼕</cp:lastModifiedBy>
  <dcterms:modified xsi:type="dcterms:W3CDTF">2026-01-28T06:46:39Z</dcterms:modified>
  <cp:revision>247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2052-12.1.0.24657</vt:lpwstr>
  </property>
  <property fmtid="{D5CDD505-2E9C-101B-9397-08002B2CF9AE}" pid="4" name="ICV">
    <vt:lpwstr>0DCA3E5A84354A29B1E53B4099589F0B_12</vt:lpwstr>
  </property>
</Properties>
</file>