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ind w:firstLine="420" w:firstLineChars="200"/>
        <w:jc w:val="both"/>
        <w:rPr>
          <w:rFonts w:hint="eastAsia"/>
          <w:b w:val="0"/>
          <w:bCs w:val="0"/>
          <w:lang w:val="en-US" w:eastAsia="zh-CN"/>
        </w:rPr>
      </w:pPr>
    </w:p>
    <w:p>
      <w:pPr>
        <w:pStyle w:val="4"/>
        <w:bidi w:val="0"/>
        <w:jc w:val="center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lang w:val="en-US" w:eastAsia="zh-CN"/>
        </w:rPr>
        <w:t>光催化氧化洗车水循环节水设备五大优势</w:t>
      </w: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光催化氧化洗车水循环节水设备是一种环保节能的水处理设备，主要目的是对洗车过程中产生的废水进行净化处理，使出水达到回用标准循环利用于洗车，减少对水资源的浪费，让每一滴水多循环一次！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2" w:firstLineChars="200"/>
        <w:jc w:val="both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光催化氧化洗车水循环节水设备五大优势：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482" w:firstLineChars="200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16年匠心铸造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“一体化光催化氧化洗车循环水设备”为深圳世纪清源环保公司历时十六年匠心铸就的精品之作！设备集三项发明专利，将污水二级处理与三级深度处理融于一体，完美的实现了污水再生回用小型化应用；使洗车污水有效的循环利用得以实现。</w:t>
      </w:r>
      <w:bookmarkStart w:id="0" w:name="_GoBack"/>
      <w:bookmarkEnd w:id="0"/>
    </w:p>
    <w:p>
      <w:pPr>
        <w:widowControl w:val="0"/>
        <w:numPr>
          <w:ilvl w:val="0"/>
          <w:numId w:val="0"/>
        </w:numPr>
        <w:ind w:firstLine="480" w:firstLineChars="200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完全抛弃以前庞大繁杂的前处理设备和前处理设施！使洗车污水循环回用变得更简单更容易；它不需要停业改造，不需要动土挖地，改造不影响正常营业。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482" w:firstLineChars="200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完美处理工艺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工艺针对洗车废水的特点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分三个阶段针对性的进行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分质处理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：①预处理（沉沙隔油）→②前处理（絮凝分离反应）→③深度净化处理（光催化氧化）；其核心技术采用纳米光催化氧化技术，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真正做到洗车水回用不发臭，无泡沫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，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长期达到国家洗车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回用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水标准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ind w:firstLine="480" w:firstLineChars="200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2"/>
        </w:numPr>
        <w:ind w:firstLine="480" w:firstLineChars="200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预处理：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将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大颗粒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泥沙沉降及油污截留下来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；</w:t>
      </w:r>
    </w:p>
    <w:p>
      <w:pPr>
        <w:widowControl w:val="0"/>
        <w:numPr>
          <w:ilvl w:val="0"/>
          <w:numId w:val="2"/>
        </w:numPr>
        <w:ind w:firstLine="480" w:firstLineChars="200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絮凝分离反应：泥水分离，将看得见的污染物去除；</w:t>
      </w:r>
    </w:p>
    <w:p>
      <w:pPr>
        <w:widowControl w:val="0"/>
        <w:numPr>
          <w:ilvl w:val="0"/>
          <w:numId w:val="2"/>
        </w:numPr>
        <w:ind w:firstLine="480" w:firstLineChars="200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光催化氧化：解决溶解在水里的看不见的污染物。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482" w:firstLineChars="200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操作</w:t>
      </w:r>
      <w:r>
        <w:rPr>
          <w:rFonts w:hint="default"/>
          <w:b/>
          <w:bCs/>
          <w:sz w:val="24"/>
          <w:szCs w:val="24"/>
          <w:lang w:val="en-US" w:eastAsia="zh-CN"/>
        </w:rPr>
        <w:t>简易</w:t>
      </w:r>
      <w:r>
        <w:rPr>
          <w:rFonts w:hint="eastAsia"/>
          <w:b/>
          <w:bCs/>
          <w:sz w:val="24"/>
          <w:szCs w:val="24"/>
          <w:lang w:val="en-US" w:eastAsia="zh-CN"/>
        </w:rPr>
        <w:t>、占地面积小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设备采用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全自动化电控，一键启动，操作简易，无需专人看守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；设备安装简单到场联接水管即可投入运行；占地面积仅1平米左右。</w:t>
      </w:r>
    </w:p>
    <w:p>
      <w:pPr>
        <w:widowControl w:val="0"/>
        <w:numPr>
          <w:ilvl w:val="0"/>
          <w:numId w:val="0"/>
        </w:numPr>
        <w:jc w:val="left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482" w:firstLineChars="200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运行维护成本低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由于分段分质处理有型的颗粒污染物不会进入设备，不采用过滤工艺、不需要反冲洗，设备没有堵塞问题，后期无更换配件，降低企业用水成本。</w:t>
      </w:r>
    </w:p>
    <w:p>
      <w:pPr>
        <w:widowControl w:val="0"/>
        <w:numPr>
          <w:ilvl w:val="0"/>
          <w:numId w:val="0"/>
        </w:numPr>
        <w:ind w:firstLine="480" w:firstLineChars="200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运行成本：每吨水处理综合费用：≤1.0元/吨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ind w:firstLine="482" w:firstLineChars="200"/>
        <w:jc w:val="left"/>
        <w:rPr>
          <w:rFonts w:hint="default"/>
          <w:b/>
          <w:bCs/>
          <w:sz w:val="24"/>
          <w:szCs w:val="24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850"/>
        <w:gridCol w:w="29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pacing w:val="14"/>
                <w:sz w:val="24"/>
                <w:szCs w:val="24"/>
              </w:rPr>
            </w:pPr>
          </w:p>
        </w:tc>
        <w:tc>
          <w:tcPr>
            <w:tcW w:w="285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pacing w:val="14"/>
                <w:sz w:val="24"/>
                <w:szCs w:val="24"/>
              </w:rPr>
              <w:t>项  目</w:t>
            </w:r>
          </w:p>
        </w:tc>
        <w:tc>
          <w:tcPr>
            <w:tcW w:w="290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pacing w:val="14"/>
                <w:sz w:val="24"/>
                <w:szCs w:val="24"/>
              </w:rPr>
              <w:t xml:space="preserve">    费   用（元）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1</w:t>
            </w:r>
          </w:p>
        </w:tc>
        <w:tc>
          <w:tcPr>
            <w:tcW w:w="285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混凝剂</w:t>
            </w:r>
          </w:p>
        </w:tc>
        <w:tc>
          <w:tcPr>
            <w:tcW w:w="290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0.08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2</w:t>
            </w:r>
          </w:p>
        </w:tc>
        <w:tc>
          <w:tcPr>
            <w:tcW w:w="285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水泵耗电费</w:t>
            </w:r>
          </w:p>
        </w:tc>
        <w:tc>
          <w:tcPr>
            <w:tcW w:w="290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3</w:t>
            </w:r>
          </w:p>
        </w:tc>
        <w:tc>
          <w:tcPr>
            <w:tcW w:w="285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光催化氧化</w:t>
            </w:r>
          </w:p>
        </w:tc>
        <w:tc>
          <w:tcPr>
            <w:tcW w:w="290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4</w:t>
            </w:r>
          </w:p>
        </w:tc>
        <w:tc>
          <w:tcPr>
            <w:tcW w:w="285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消耗压缩空气</w:t>
            </w:r>
          </w:p>
        </w:tc>
        <w:tc>
          <w:tcPr>
            <w:tcW w:w="290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5</w:t>
            </w:r>
          </w:p>
        </w:tc>
        <w:tc>
          <w:tcPr>
            <w:tcW w:w="285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合    计</w:t>
            </w:r>
          </w:p>
        </w:tc>
        <w:tc>
          <w:tcPr>
            <w:tcW w:w="2906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spacing w:val="14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4"/>
                <w:sz w:val="24"/>
                <w:szCs w:val="24"/>
              </w:rPr>
              <w:t>1.00</w:t>
            </w:r>
          </w:p>
        </w:tc>
      </w:tr>
    </w:tbl>
    <w:p>
      <w:pPr>
        <w:widowControl w:val="0"/>
        <w:numPr>
          <w:ilvl w:val="0"/>
          <w:numId w:val="0"/>
        </w:numPr>
        <w:jc w:val="left"/>
        <w:rPr>
          <w:rFonts w:hint="eastAsia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1"/>
        </w:numPr>
        <w:ind w:left="0" w:leftChars="0" w:firstLine="482" w:firstLineChars="200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经久耐用</w:t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80" w:firstLineChars="200"/>
        <w:jc w:val="both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设备使用寿命在十年左右；设备通体采用304不锈钢制。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1CBB28"/>
    <w:multiLevelType w:val="singleLevel"/>
    <w:tmpl w:val="501CBB28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7FCCC8C9"/>
    <w:multiLevelType w:val="singleLevel"/>
    <w:tmpl w:val="7FCCC8C9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NDY2ODQxYmE0YWNhNTU4MTkzYWJkNTQ4MzFjM2IifQ=="/>
  </w:docVars>
  <w:rsids>
    <w:rsidRoot w:val="15D41938"/>
    <w:rsid w:val="086B4C5E"/>
    <w:rsid w:val="0F694D72"/>
    <w:rsid w:val="149A777C"/>
    <w:rsid w:val="15D41938"/>
    <w:rsid w:val="1F813A12"/>
    <w:rsid w:val="28D177B8"/>
    <w:rsid w:val="3F4D5267"/>
    <w:rsid w:val="43E91A02"/>
    <w:rsid w:val="53D654FE"/>
    <w:rsid w:val="554D5B69"/>
    <w:rsid w:val="648B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2024-04-18T01:22:00Z</dcterms:created>
  <dc:creator></dc:creator>
  <cp:lastModifiedBy></cp:lastModifiedBy>
  <dcterms:modified xsi:type="dcterms:W3CDTF">2024-04-18T01:26:13Z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103093B15417411190E5D7CF0ADC94EF_11</vt:lpwstr>
  </property>
</Properties>
</file>