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F3232">
      <w:pPr>
        <w:pStyle w:val="167"/>
        <w:rPr>
          <w:lang w:eastAsia="zh-CN"/>
        </w:rPr>
      </w:pPr>
      <w:bookmarkStart w:id="0" w:name="_Toc517262917"/>
      <w:bookmarkStart w:id="1" w:name="_Toc453597319"/>
      <w:bookmarkStart w:id="2" w:name="OLE_LINK15"/>
      <w:bookmarkStart w:id="3" w:name="_Toc481801204"/>
      <w:bookmarkStart w:id="4" w:name="_Toc438987549"/>
      <w:bookmarkStart w:id="5" w:name="_Toc415818939"/>
      <w:bookmarkStart w:id="6" w:name="OLE_LINK13"/>
      <w:bookmarkStart w:id="7" w:name="_Toc418070112"/>
      <w:bookmarkStart w:id="8" w:name="_Toc415142861"/>
      <w:bookmarkStart w:id="9" w:name="_Toc415143481"/>
      <w:bookmarkStart w:id="10" w:name="OLE_LINK40"/>
      <w:bookmarkStart w:id="11" w:name="OLE_LINK39"/>
      <w:bookmarkStart w:id="12" w:name="OLE_LINK24"/>
      <w:r>
        <w:drawing>
          <wp:inline distT="0" distB="0" distL="114300" distR="114300">
            <wp:extent cx="6187440" cy="4888230"/>
            <wp:effectExtent l="0" t="0" r="381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888230"/>
                    </a:xfrm>
                    <a:prstGeom prst="rect">
                      <a:avLst/>
                    </a:prstGeom>
                    <a:noFill/>
                    <a:ln>
                      <a:noFill/>
                    </a:ln>
                  </pic:spPr>
                </pic:pic>
              </a:graphicData>
            </a:graphic>
          </wp:inline>
        </w:drawing>
      </w:r>
      <w:r>
        <w:rPr>
          <w:rFonts w:hint="eastAsia"/>
          <w:lang w:eastAsia="zh-CN"/>
        </w:rPr>
        <w:t>数据备份解决方案产品概述</w:t>
      </w:r>
    </w:p>
    <w:p w14:paraId="518388E1">
      <w:pPr>
        <w:pStyle w:val="145"/>
        <w:rPr>
          <w:rFonts w:hint="eastAsia"/>
          <w:lang w:val="en-US" w:eastAsia="zh-CN"/>
        </w:rPr>
      </w:pPr>
      <w:r>
        <w:rPr>
          <w:lang w:val="en-US" w:eastAsia="zh-CN"/>
        </w:rPr>
        <w:t>数据备份解决方案是一类用于复制、存储、管理与恢复数据的综合软件与服务体系，旨在保障企业和组织在系统故障、意外删除、网络攻击或自然灾害等情况下的数据安全与业务连续性。该解决方案支持多种数据源（如文件、数据库、操作系统、虚拟机、应用数据）和多维存储目标（本地存储、远程存储、混合云与公有云），通过策略配置、增量/差异备份、快照、版本管理与自动恢复机制，实现数据的周期性或实时备份。数据备份解决方案通常还集成了安全加密、访问控制、合规审计与恢复验证等功能，以满足现代企业不断增长的数据保护需求。作为高附加值的软件与云服务类别，数据备份解决方案的毛利率相对较高，SaaS/云交付模式下可达到 60–80% 以上，本地部署及托管服务产品毛利率通常在 50–70% 区间。2025年全球数据备份解决方案毛利率约50%-80%。</w:t>
      </w:r>
    </w:p>
    <w:p w14:paraId="09108D6E">
      <w:pPr>
        <w:pStyle w:val="145"/>
        <w:rPr>
          <w:lang w:val="en-US" w:eastAsia="zh-CN"/>
        </w:rPr>
      </w:pPr>
      <w:r>
        <w:rPr>
          <w:lang w:val="en-US" w:eastAsia="zh-CN"/>
        </w:rPr>
        <w:t>Veeam，Veritas Technologies，Commvault，Acronis，Kaseya（Unitrends），Datto，Netapp，Code42等是全球数据备份解决方案市场的主要开发商。前10名在2025年占据了全球市场的55％。美国是最大的地区，占全球市场的约43％，而欧洲和中国分别约为25.7％，6.7％。</w:t>
      </w:r>
    </w:p>
    <w:p w14:paraId="1ABC2D75">
      <w:pPr>
        <w:pStyle w:val="145"/>
        <w:rPr>
          <w:lang w:val="en-US" w:eastAsia="zh-CN"/>
        </w:rPr>
      </w:pPr>
      <w:r>
        <w:rPr>
          <w:lang w:val="en-US" w:eastAsia="zh-CN"/>
        </w:rPr>
        <w:t>当前全球企业数字化转型持续加速，企业数据规模快速膨胀，使得数据备份解决方案成为确保业务连续性与信息安全的核心工具之一。云计算、虚拟化、混合云架构的广泛采用不仅使数据来源更加多样化，也推动了备份解决方案向自动化、智能化与云原生方向演进。网络安全风险（如勒索软件、数据泄露）与日俱增，合规需求和法规压力（例如 GDPR、HIPAA）进一步强化了组织对成熟数据保护策略的依赖。这些因素共同促进了数据备份解决方案在企业 IT 战略中的地位上升，市场需求稳健增长。尽管市场前景向好，数据备份解决方案的推广仍面临挑战。一方面，整体解决方案的部署、集成与长期管理成本较高，尤其是对中小企业而言初期投入和技术门槛可能成为阻力。另一方面，市场供应商众多，产品功能和标准参差不齐，可能导致企业在选择方案时出现兼容性和扩展性问题，从而增加实施风险。此外，随着云服务的普及，服务供应商需持续提升安全防护能力与数据主权支持，以应对多地域合规要求和潜在的数据泄露风险。在下游市场需求层面，不同行业对数据备份解决方案的侧重点各有侧重。金融、医疗、政府等对数据完整性和合规性有极高要求，倾向于选用具备严格审计与长期保存能力的平台。制造业、零售业等希望通过自动化备份和智能恢复功能减少生产中断风险，提高 IT 效率。云原生平台用户和 SaaS 供应商则更为青睐可扩展、按需付费的备份解决方案，推动云端备份与混合云备份成为主流趋势。未来，随着人工智能与机器学习技术的融合，智能预测备份与自动恢复优化功能将进一步成为市场增长的新动力，提升存储效率及恢复性能。</w:t>
      </w:r>
    </w:p>
    <w:p w14:paraId="42144EE6">
      <w:pPr>
        <w:pStyle w:val="145"/>
        <w:rPr>
          <w:rFonts w:hint="eastAsia"/>
          <w:lang w:val="en-US" w:eastAsia="zh-CN"/>
        </w:rPr>
      </w:pPr>
    </w:p>
    <w:p w14:paraId="2B02D344">
      <w:pPr>
        <w:pStyle w:val="167"/>
        <w:rPr>
          <w:lang w:eastAsia="zh-CN"/>
        </w:rPr>
      </w:pPr>
      <w:r>
        <w:rPr>
          <w:rFonts w:hint="eastAsia"/>
          <w:lang w:eastAsia="zh-CN"/>
        </w:rPr>
        <w:t>数据备份解决方案产品图片</w:t>
      </w:r>
    </w:p>
    <w:p w14:paraId="0F8C9D42">
      <w:pPr>
        <w:rPr>
          <w:rFonts w:cs="Calibri"/>
        </w:rPr>
      </w:pPr>
      <w:r>
        <w:drawing>
          <wp:inline distT="0" distB="0" distL="0" distR="0">
            <wp:extent cx="3078480" cy="1743075"/>
            <wp:effectExtent l="0" t="0" r="7620" b="9525"/>
            <wp:docPr id="1235305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30552" name="图片 1"/>
                    <pic:cNvPicPr>
                      <a:picLocks noChangeAspect="1"/>
                    </pic:cNvPicPr>
                  </pic:nvPicPr>
                  <pic:blipFill>
                    <a:blip r:embed="rId10"/>
                    <a:stretch>
                      <a:fillRect/>
                    </a:stretch>
                  </pic:blipFill>
                  <pic:spPr>
                    <a:xfrm>
                      <a:off x="0" y="0"/>
                      <a:ext cx="3081855" cy="1745521"/>
                    </a:xfrm>
                    <a:prstGeom prst="rect">
                      <a:avLst/>
                    </a:prstGeom>
                  </pic:spPr>
                </pic:pic>
              </a:graphicData>
            </a:graphic>
          </wp:inline>
        </w:drawing>
      </w:r>
    </w:p>
    <w:p w14:paraId="5873931A">
      <w:pPr>
        <w:pStyle w:val="143"/>
        <w:rPr>
          <w:lang w:eastAsia="zh-CN"/>
        </w:rPr>
      </w:pPr>
      <w:r>
        <w:rPr>
          <w:rFonts w:hint="eastAsia"/>
          <w:lang w:eastAsia="zh-CN"/>
        </w:rPr>
        <w:t>资料来源：二手资料和 QYResearch，2025 年</w:t>
      </w:r>
    </w:p>
    <w:p w14:paraId="564B456C">
      <w:pPr>
        <w:pStyle w:val="145"/>
        <w:rPr>
          <w:lang w:eastAsia="zh-CN"/>
        </w:rPr>
      </w:pPr>
      <w:bookmarkStart w:id="13" w:name="OLE_LINK2"/>
      <w:r>
        <w:rPr>
          <w:rFonts w:hint="eastAsia"/>
          <w:lang w:eastAsia="zh-CN"/>
        </w:rPr>
        <w:t>根据QYResearch最新调研报告显示，</w:t>
      </w:r>
      <w:r>
        <w:rPr>
          <w:lang w:eastAsia="zh-CN"/>
        </w:rPr>
        <w:t xml:space="preserve"> </w:t>
      </w:r>
      <w:r>
        <w:rPr>
          <w:rFonts w:hint="eastAsia"/>
          <w:lang w:eastAsia="zh-CN"/>
        </w:rPr>
        <w:t>2025年全球数据备份解决方案市场销售额达到了80.76亿美元，预计20</w:t>
      </w:r>
      <w:r>
        <w:rPr>
          <w:lang w:eastAsia="zh-CN"/>
        </w:rPr>
        <w:t>3</w:t>
      </w:r>
      <w:r>
        <w:rPr>
          <w:rFonts w:hint="eastAsia"/>
          <w:lang w:eastAsia="zh-CN"/>
        </w:rPr>
        <w:t>2年将达到125.13亿美元，年复合增长率（CAGR）为6.2%（2026-20</w:t>
      </w:r>
      <w:r>
        <w:rPr>
          <w:lang w:eastAsia="zh-CN"/>
        </w:rPr>
        <w:t>3</w:t>
      </w:r>
      <w:r>
        <w:rPr>
          <w:rFonts w:hint="eastAsia"/>
          <w:lang w:eastAsia="zh-CN"/>
        </w:rPr>
        <w:t>2）。</w:t>
      </w:r>
    </w:p>
    <w:bookmarkEnd w:id="13"/>
    <w:p w14:paraId="0ED2AE5A">
      <w:pPr>
        <w:pStyle w:val="145"/>
        <w:rPr>
          <w:lang w:eastAsia="zh-CN"/>
        </w:rPr>
      </w:pPr>
    </w:p>
    <w:p w14:paraId="164248DF">
      <w:pPr>
        <w:pStyle w:val="167"/>
        <w:rPr>
          <w:lang w:eastAsia="zh-CN"/>
        </w:rPr>
      </w:pPr>
      <w:r>
        <w:rPr>
          <w:rFonts w:hint="eastAsia"/>
          <w:lang w:eastAsia="zh-CN"/>
        </w:rPr>
        <w:t>业内企业：</w:t>
      </w:r>
    </w:p>
    <w:p w14:paraId="79367CF3">
      <w:pPr>
        <w:pStyle w:val="145"/>
        <w:rPr>
          <w:lang w:eastAsia="zh-CN"/>
        </w:rPr>
      </w:pPr>
      <w:r>
        <w:rPr>
          <w:lang w:eastAsia="zh-CN"/>
        </w:rPr>
        <w:t>Cohesity</w:t>
      </w:r>
      <w:r>
        <w:rPr>
          <w:rFonts w:hint="eastAsia"/>
          <w:lang w:eastAsia="zh-CN"/>
        </w:rPr>
        <w:t>、</w:t>
      </w:r>
      <w:r>
        <w:rPr>
          <w:lang w:eastAsia="zh-CN"/>
        </w:rPr>
        <w:t>Veeam</w:t>
      </w:r>
      <w:r>
        <w:rPr>
          <w:rFonts w:hint="eastAsia"/>
          <w:lang w:eastAsia="zh-CN"/>
        </w:rPr>
        <w:t>、</w:t>
      </w:r>
      <w:r>
        <w:rPr>
          <w:lang w:eastAsia="zh-CN"/>
        </w:rPr>
        <w:t>Acronis</w:t>
      </w:r>
      <w:r>
        <w:rPr>
          <w:rFonts w:hint="eastAsia"/>
          <w:lang w:eastAsia="zh-CN"/>
        </w:rPr>
        <w:t>、</w:t>
      </w:r>
      <w:r>
        <w:rPr>
          <w:lang w:eastAsia="zh-CN"/>
        </w:rPr>
        <w:t>Arcserve</w:t>
      </w:r>
      <w:r>
        <w:rPr>
          <w:rFonts w:hint="eastAsia"/>
          <w:lang w:eastAsia="zh-CN"/>
        </w:rPr>
        <w:t>、</w:t>
      </w:r>
      <w:r>
        <w:rPr>
          <w:lang w:eastAsia="zh-CN"/>
        </w:rPr>
        <w:t>Netapp</w:t>
      </w:r>
      <w:r>
        <w:rPr>
          <w:rFonts w:hint="eastAsia"/>
          <w:lang w:eastAsia="zh-CN"/>
        </w:rPr>
        <w:t>、Code42（Previously CrashPlan）、</w:t>
      </w:r>
      <w:r>
        <w:rPr>
          <w:lang w:eastAsia="zh-CN"/>
        </w:rPr>
        <w:t>Commvault</w:t>
      </w:r>
      <w:r>
        <w:rPr>
          <w:rFonts w:hint="eastAsia"/>
          <w:lang w:eastAsia="zh-CN"/>
        </w:rPr>
        <w:t>、</w:t>
      </w:r>
      <w:r>
        <w:rPr>
          <w:lang w:eastAsia="zh-CN"/>
        </w:rPr>
        <w:t>Kaseya</w:t>
      </w:r>
      <w:r>
        <w:rPr>
          <w:rFonts w:hint="eastAsia"/>
          <w:lang w:eastAsia="zh-CN"/>
        </w:rPr>
        <w:t>、</w:t>
      </w:r>
      <w:r>
        <w:rPr>
          <w:lang w:eastAsia="zh-CN"/>
        </w:rPr>
        <w:t>Zoolz (Genie9)</w:t>
      </w:r>
      <w:r>
        <w:rPr>
          <w:rFonts w:hint="eastAsia"/>
          <w:lang w:eastAsia="zh-CN"/>
        </w:rPr>
        <w:t>、</w:t>
      </w:r>
      <w:r>
        <w:rPr>
          <w:lang w:eastAsia="zh-CN"/>
        </w:rPr>
        <w:t>Wondershare Recoverit</w:t>
      </w:r>
      <w:r>
        <w:rPr>
          <w:rFonts w:hint="eastAsia"/>
          <w:lang w:eastAsia="zh-CN"/>
        </w:rPr>
        <w:t>、</w:t>
      </w:r>
      <w:r>
        <w:rPr>
          <w:lang w:eastAsia="zh-CN"/>
        </w:rPr>
        <w:t>Softland</w:t>
      </w:r>
      <w:r>
        <w:rPr>
          <w:rFonts w:hint="eastAsia"/>
          <w:lang w:eastAsia="zh-CN"/>
        </w:rPr>
        <w:t>、</w:t>
      </w:r>
      <w:r>
        <w:rPr>
          <w:lang w:eastAsia="zh-CN"/>
        </w:rPr>
        <w:t>NTI Corporation</w:t>
      </w:r>
      <w:r>
        <w:rPr>
          <w:rFonts w:hint="eastAsia"/>
          <w:lang w:eastAsia="zh-CN"/>
        </w:rPr>
        <w:t>、</w:t>
      </w:r>
      <w:r>
        <w:rPr>
          <w:lang w:eastAsia="zh-CN"/>
        </w:rPr>
        <w:t>EasyUS</w:t>
      </w:r>
      <w:r>
        <w:rPr>
          <w:rFonts w:hint="eastAsia"/>
          <w:lang w:eastAsia="zh-CN"/>
        </w:rPr>
        <w:t>、</w:t>
      </w:r>
      <w:r>
        <w:rPr>
          <w:lang w:eastAsia="zh-CN"/>
        </w:rPr>
        <w:t>IBM</w:t>
      </w:r>
      <w:r>
        <w:rPr>
          <w:rFonts w:hint="eastAsia"/>
          <w:lang w:eastAsia="zh-CN"/>
        </w:rPr>
        <w:t>、</w:t>
      </w:r>
      <w:r>
        <w:rPr>
          <w:lang w:eastAsia="zh-CN"/>
        </w:rPr>
        <w:t>Dell</w:t>
      </w:r>
      <w:r>
        <w:rPr>
          <w:rFonts w:hint="eastAsia"/>
          <w:lang w:eastAsia="zh-CN"/>
        </w:rPr>
        <w:t>、</w:t>
      </w:r>
      <w:r>
        <w:rPr>
          <w:lang w:eastAsia="zh-CN"/>
        </w:rPr>
        <w:t>MSP360</w:t>
      </w:r>
      <w:r>
        <w:rPr>
          <w:rFonts w:hint="eastAsia"/>
          <w:lang w:eastAsia="zh-CN"/>
        </w:rPr>
        <w:t>、</w:t>
      </w:r>
      <w:r>
        <w:rPr>
          <w:lang w:eastAsia="zh-CN"/>
        </w:rPr>
        <w:t>Carbonite (OpenText)</w:t>
      </w:r>
      <w:r>
        <w:rPr>
          <w:rFonts w:hint="eastAsia"/>
          <w:lang w:eastAsia="zh-CN"/>
        </w:rPr>
        <w:t>、</w:t>
      </w:r>
      <w:r>
        <w:rPr>
          <w:lang w:eastAsia="zh-CN"/>
        </w:rPr>
        <w:t>Hitachi Vantara</w:t>
      </w:r>
      <w:r>
        <w:rPr>
          <w:rFonts w:hint="eastAsia"/>
          <w:lang w:eastAsia="zh-CN"/>
        </w:rPr>
        <w:t>、</w:t>
      </w:r>
      <w:r>
        <w:rPr>
          <w:lang w:eastAsia="zh-CN"/>
        </w:rPr>
        <w:t>Druva</w:t>
      </w:r>
      <w:r>
        <w:rPr>
          <w:rFonts w:hint="eastAsia"/>
          <w:lang w:eastAsia="zh-CN"/>
        </w:rPr>
        <w:t>、</w:t>
      </w:r>
      <w:r>
        <w:rPr>
          <w:lang w:eastAsia="zh-CN"/>
        </w:rPr>
        <w:t>N-able</w:t>
      </w:r>
      <w:r>
        <w:rPr>
          <w:rFonts w:hint="eastAsia"/>
          <w:lang w:eastAsia="zh-CN"/>
        </w:rPr>
        <w:t>、</w:t>
      </w:r>
      <w:r>
        <w:rPr>
          <w:lang w:eastAsia="zh-CN"/>
        </w:rPr>
        <w:t>Veritas</w:t>
      </w:r>
      <w:r>
        <w:rPr>
          <w:rFonts w:hint="eastAsia"/>
          <w:lang w:eastAsia="zh-CN"/>
        </w:rPr>
        <w:t>、</w:t>
      </w:r>
      <w:r>
        <w:rPr>
          <w:lang w:eastAsia="zh-CN"/>
        </w:rPr>
        <w:t>Asigra</w:t>
      </w:r>
      <w:r>
        <w:rPr>
          <w:rFonts w:hint="eastAsia"/>
          <w:lang w:eastAsia="zh-CN"/>
        </w:rPr>
        <w:t>、</w:t>
      </w:r>
      <w:r>
        <w:rPr>
          <w:lang w:eastAsia="zh-CN"/>
        </w:rPr>
        <w:t>Bacula Systems</w:t>
      </w:r>
      <w:r>
        <w:rPr>
          <w:rFonts w:hint="eastAsia"/>
          <w:lang w:eastAsia="zh-CN"/>
        </w:rPr>
        <w:t>、</w:t>
      </w:r>
      <w:r>
        <w:rPr>
          <w:lang w:eastAsia="zh-CN"/>
        </w:rPr>
        <w:t>IONOS</w:t>
      </w:r>
      <w:r>
        <w:rPr>
          <w:rFonts w:hint="eastAsia"/>
          <w:lang w:eastAsia="zh-CN"/>
        </w:rPr>
        <w:t>、</w:t>
      </w:r>
      <w:r>
        <w:rPr>
          <w:lang w:eastAsia="zh-CN"/>
        </w:rPr>
        <w:t>SkyKick</w:t>
      </w:r>
      <w:r>
        <w:rPr>
          <w:rFonts w:hint="eastAsia"/>
          <w:lang w:eastAsia="zh-CN"/>
        </w:rPr>
        <w:t>、</w:t>
      </w:r>
      <w:r>
        <w:rPr>
          <w:lang w:eastAsia="zh-CN"/>
        </w:rPr>
        <w:t>NovaBACKUP</w:t>
      </w:r>
      <w:r>
        <w:rPr>
          <w:rFonts w:hint="eastAsia"/>
          <w:lang w:eastAsia="zh-CN"/>
        </w:rPr>
        <w:t>、</w:t>
      </w:r>
      <w:r>
        <w:rPr>
          <w:lang w:eastAsia="zh-CN"/>
        </w:rPr>
        <w:t>Bacula</w:t>
      </w:r>
      <w:r>
        <w:rPr>
          <w:rFonts w:hint="eastAsia"/>
          <w:lang w:eastAsia="zh-CN"/>
        </w:rPr>
        <w:t>、</w:t>
      </w:r>
      <w:r>
        <w:rPr>
          <w:lang w:eastAsia="zh-CN"/>
        </w:rPr>
        <w:t>Barracuda</w:t>
      </w:r>
      <w:r>
        <w:rPr>
          <w:rFonts w:hint="eastAsia"/>
          <w:lang w:eastAsia="zh-CN"/>
        </w:rPr>
        <w:t>、</w:t>
      </w:r>
      <w:r>
        <w:rPr>
          <w:lang w:eastAsia="zh-CN"/>
        </w:rPr>
        <w:t>BDRSuite</w:t>
      </w:r>
      <w:r>
        <w:rPr>
          <w:rFonts w:hint="eastAsia"/>
          <w:lang w:eastAsia="zh-CN"/>
        </w:rPr>
        <w:t>、</w:t>
      </w:r>
      <w:r>
        <w:rPr>
          <w:lang w:eastAsia="zh-CN"/>
        </w:rPr>
        <w:t>NAKIVO</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数据备份解决方案</w:t>
      </w:r>
      <w:r>
        <w:rPr>
          <w:rFonts w:hint="eastAsia"/>
          <w:lang w:eastAsia="zh-CN"/>
        </w:rPr>
        <w:t>，全球市场总体规模</w:t>
      </w:r>
    </w:p>
    <w:p w14:paraId="33261207">
      <w:pPr>
        <w:pStyle w:val="145"/>
      </w:pPr>
      <w:r>
        <w:drawing>
          <wp:inline distT="0" distB="0" distL="0" distR="0">
            <wp:extent cx="6188710" cy="2202180"/>
            <wp:effectExtent l="0" t="0" r="2540" b="7620"/>
            <wp:docPr id="10648710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2FD9BEF">
      <w:pPr>
        <w:pStyle w:val="143"/>
        <w:rPr>
          <w:lang w:eastAsia="zh-CN"/>
        </w:rPr>
      </w:pPr>
      <w:r>
        <w:rPr>
          <w:rFonts w:hint="eastAsia"/>
          <w:lang w:eastAsia="zh-CN"/>
        </w:rPr>
        <w:t>来源：QYResearch 北京研究中心</w:t>
      </w:r>
    </w:p>
    <w:p w14:paraId="3E6DE9A8">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数据备份解决方案</w:t>
      </w:r>
      <w:r>
        <w:rPr>
          <w:rFonts w:hint="eastAsia"/>
          <w:lang w:eastAsia="zh-CN"/>
        </w:rPr>
        <w:t>，全球市场规模，按产品类型细分，</w:t>
      </w:r>
      <w:r>
        <w:rPr>
          <w:rFonts w:ascii="Book Antiqua" w:hAnsi="Book Antiqua" w:cs="宋体"/>
          <w:sz w:val="22"/>
          <w:lang w:eastAsia="zh-CN"/>
        </w:rPr>
        <w:t>本地部署</w:t>
      </w:r>
      <w:r>
        <w:rPr>
          <w:rFonts w:hint="eastAsia"/>
          <w:lang w:eastAsia="zh-CN"/>
        </w:rPr>
        <w:t>处于主导地位</w:t>
      </w:r>
    </w:p>
    <w:p w14:paraId="0AF5DB10">
      <w:pPr>
        <w:pStyle w:val="145"/>
        <w:rPr>
          <w:lang w:val="en-US" w:eastAsia="zh-CN"/>
        </w:rPr>
      </w:pPr>
      <w:r>
        <w:rPr>
          <w:rFonts w:hint="eastAsia" w:ascii="宋体" w:hAnsi="宋体" w:cs="宋体"/>
          <w:sz w:val="24"/>
          <w:szCs w:val="24"/>
        </w:rPr>
        <w:drawing>
          <wp:inline distT="0" distB="0" distL="0" distR="0">
            <wp:extent cx="5461000" cy="2377440"/>
            <wp:effectExtent l="0" t="0" r="6350" b="3810"/>
            <wp:docPr id="461627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6276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466212" cy="2379575"/>
                    </a:xfrm>
                    <a:prstGeom prst="rect">
                      <a:avLst/>
                    </a:prstGeom>
                    <a:noFill/>
                  </pic:spPr>
                </pic:pic>
              </a:graphicData>
            </a:graphic>
          </wp:inline>
        </w:drawing>
      </w:r>
    </w:p>
    <w:p w14:paraId="55FE8DBF">
      <w:pPr>
        <w:pStyle w:val="143"/>
        <w:rPr>
          <w:lang w:eastAsia="zh-CN"/>
        </w:rPr>
      </w:pPr>
      <w:r>
        <w:rPr>
          <w:rFonts w:hint="eastAsia"/>
          <w:lang w:eastAsia="zh-CN"/>
        </w:rPr>
        <w:t>来源：QYResearch 北京研究中心</w:t>
      </w:r>
    </w:p>
    <w:p w14:paraId="5D01C5C9">
      <w:pPr>
        <w:widowControl/>
        <w:topLinePunct w:val="0"/>
        <w:spacing w:after="0"/>
        <w:rPr>
          <w:rFonts w:hint="eastAsia" w:ascii="宋体" w:hAnsi="宋体" w:cs="宋体"/>
          <w:kern w:val="0"/>
          <w:sz w:val="22"/>
          <w:szCs w:val="22"/>
        </w:rPr>
      </w:pPr>
      <w:r>
        <w:rPr>
          <w:rFonts w:ascii="Book Antiqua" w:hAnsi="Book Antiqua" w:cs="宋体"/>
          <w:kern w:val="0"/>
          <w:sz w:val="22"/>
          <w:szCs w:val="22"/>
        </w:rPr>
        <w:t>就产品类型而言，目前本地部署是最主要的细分产品，占据大约71.0%的份额</w:t>
      </w:r>
    </w:p>
    <w:p w14:paraId="0B069045">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数据备份解决方案</w:t>
      </w:r>
      <w:r>
        <w:rPr>
          <w:rFonts w:hint="eastAsia"/>
          <w:lang w:eastAsia="zh-CN"/>
        </w:rPr>
        <w:t>，全球市场规模，按应用细分，</w:t>
      </w:r>
      <w:r>
        <w:rPr>
          <w:rFonts w:hint="eastAsia" w:ascii="Book Antiqua" w:hAnsi="Book Antiqua" w:cs="宋体"/>
          <w:sz w:val="22"/>
          <w:lang w:eastAsia="zh-CN"/>
        </w:rPr>
        <w:t>企业应用</w:t>
      </w:r>
      <w:r>
        <w:rPr>
          <w:rFonts w:hint="eastAsia"/>
          <w:lang w:eastAsia="zh-CN"/>
        </w:rPr>
        <w:t>是最大的下游市场，2025年占有</w:t>
      </w:r>
      <w:r>
        <w:rPr>
          <w:rFonts w:hint="eastAsia" w:ascii="Book Antiqua" w:hAnsi="Book Antiqua" w:cs="宋体"/>
          <w:sz w:val="22"/>
          <w:lang w:eastAsia="zh-CN"/>
        </w:rPr>
        <w:t>94.5</w:t>
      </w:r>
      <w:r>
        <w:rPr>
          <w:rFonts w:ascii="Book Antiqua" w:hAnsi="Book Antiqua" w:cs="宋体"/>
          <w:sz w:val="22"/>
          <w:lang w:eastAsia="zh-CN"/>
        </w:rPr>
        <w:t>%</w:t>
      </w:r>
      <w:r>
        <w:rPr>
          <w:rFonts w:hint="eastAsia" w:ascii="Book Antiqua" w:hAnsi="Book Antiqua" w:cs="宋体"/>
          <w:sz w:val="22"/>
          <w:lang w:eastAsia="zh-CN"/>
        </w:rPr>
        <w:t>的</w:t>
      </w:r>
      <w:r>
        <w:rPr>
          <w:rFonts w:hint="eastAsia"/>
          <w:lang w:eastAsia="zh-CN"/>
        </w:rPr>
        <w:t>份额。</w:t>
      </w:r>
    </w:p>
    <w:p w14:paraId="1F9213C6">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5303520" cy="2605405"/>
            <wp:effectExtent l="0" t="0" r="0" b="4445"/>
            <wp:docPr id="5436186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618641"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319524" cy="2613679"/>
                    </a:xfrm>
                    <a:prstGeom prst="rect">
                      <a:avLst/>
                    </a:prstGeom>
                    <a:noFill/>
                  </pic:spPr>
                </pic:pic>
              </a:graphicData>
            </a:graphic>
          </wp:inline>
        </w:drawing>
      </w:r>
    </w:p>
    <w:p w14:paraId="07664A1E">
      <w:pPr>
        <w:pStyle w:val="143"/>
        <w:rPr>
          <w:lang w:eastAsia="zh-CN"/>
        </w:rPr>
      </w:pPr>
      <w:r>
        <w:rPr>
          <w:rFonts w:hint="eastAsia"/>
          <w:lang w:eastAsia="zh-CN"/>
        </w:rPr>
        <w:t>来源：QYResearch 北京研究中心</w:t>
      </w:r>
      <w:r>
        <w:rPr>
          <w:rFonts w:ascii="宋体" w:hAnsi="宋体" w:cs="宋体"/>
          <w:i w:val="0"/>
          <w:color w:val="auto"/>
          <w:sz w:val="22"/>
          <w:lang w:val="en-US" w:eastAsia="zh-CN"/>
        </w:rPr>
        <w:tab/>
      </w:r>
    </w:p>
    <w:p w14:paraId="53A52EFA">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就产品应用而言，目前</w:t>
      </w:r>
      <w:r>
        <w:rPr>
          <w:rFonts w:hint="eastAsia" w:ascii="Book Antiqua" w:hAnsi="Book Antiqua" w:cs="宋体"/>
          <w:kern w:val="0"/>
          <w:sz w:val="22"/>
          <w:szCs w:val="22"/>
        </w:rPr>
        <w:t>企业应用</w:t>
      </w:r>
      <w:r>
        <w:rPr>
          <w:rFonts w:ascii="Book Antiqua" w:hAnsi="Book Antiqua" w:cs="宋体"/>
          <w:kern w:val="0"/>
          <w:sz w:val="22"/>
          <w:szCs w:val="22"/>
        </w:rPr>
        <w:t>是最主要的需求来源，占据大约</w:t>
      </w:r>
      <w:r>
        <w:rPr>
          <w:rFonts w:hint="eastAsia" w:ascii="Book Antiqua" w:hAnsi="Book Antiqua" w:cs="宋体"/>
          <w:kern w:val="0"/>
          <w:sz w:val="22"/>
          <w:szCs w:val="22"/>
        </w:rPr>
        <w:t>94.5</w:t>
      </w:r>
      <w:r>
        <w:rPr>
          <w:rFonts w:ascii="Book Antiqua" w:hAnsi="Book Antiqua" w:cs="宋体"/>
          <w:kern w:val="0"/>
          <w:sz w:val="22"/>
          <w:szCs w:val="22"/>
        </w:rPr>
        <w:t>%的份额。</w:t>
      </w:r>
      <w:r>
        <w:tab/>
      </w:r>
      <w:bookmarkStart w:id="14" w:name="_GoBack"/>
      <w:bookmarkEnd w:id="14"/>
    </w:p>
    <w:p w14:paraId="2AC4BCE1">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全球主要市场</w:t>
      </w:r>
      <w:r>
        <w:rPr>
          <w:lang w:eastAsia="zh-CN"/>
        </w:rPr>
        <w:t>数据备份解决方案</w:t>
      </w:r>
      <w:r>
        <w:rPr>
          <w:rFonts w:hint="eastAsia"/>
          <w:lang w:eastAsia="zh-CN"/>
        </w:rPr>
        <w:t>规模</w:t>
      </w:r>
    </w:p>
    <w:p w14:paraId="588ED269">
      <w:pPr>
        <w:pStyle w:val="145"/>
        <w:rPr>
          <w:lang w:val="en-US" w:eastAsia="zh-CN"/>
        </w:rPr>
      </w:pPr>
      <w:r>
        <w:rPr>
          <w:lang w:val="en-US" w:eastAsia="zh-CN"/>
        </w:rPr>
        <w:drawing>
          <wp:inline distT="0" distB="0" distL="0" distR="0">
            <wp:extent cx="6601460" cy="2414270"/>
            <wp:effectExtent l="0" t="0" r="8890" b="5080"/>
            <wp:docPr id="14779025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02526"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605530" cy="2415575"/>
                    </a:xfrm>
                    <a:prstGeom prst="rect">
                      <a:avLst/>
                    </a:prstGeom>
                    <a:noFill/>
                  </pic:spPr>
                </pic:pic>
              </a:graphicData>
            </a:graphic>
          </wp:inline>
        </w:drawing>
      </w:r>
    </w:p>
    <w:p w14:paraId="07A95001">
      <w:pPr>
        <w:pStyle w:val="143"/>
        <w:rPr>
          <w:lang w:eastAsia="zh-CN"/>
        </w:rPr>
      </w:pPr>
      <w:r>
        <w:rPr>
          <w:rFonts w:hint="eastAsia"/>
          <w:lang w:eastAsia="zh-CN"/>
        </w:rPr>
        <w:t>来源：QYResearch 北京研究中心</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499" w:hanging="357"/>
      </w:pPr>
      <w:rPr>
        <w:rFonts w:hint="eastAsia"/>
      </w:rPr>
    </w:lvl>
    <w:lvl w:ilvl="1" w:tentative="0">
      <w:start w:val="1"/>
      <w:numFmt w:val="lowerLetter"/>
      <w:lvlText w:val="%2)"/>
      <w:lvlJc w:val="left"/>
      <w:pPr>
        <w:ind w:left="982"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822" w:hanging="420"/>
      </w:pPr>
      <w:rPr>
        <w:rFonts w:hint="eastAsia"/>
      </w:rPr>
    </w:lvl>
    <w:lvl w:ilvl="4" w:tentative="0">
      <w:start w:val="1"/>
      <w:numFmt w:val="lowerLetter"/>
      <w:lvlText w:val="%5)"/>
      <w:lvlJc w:val="left"/>
      <w:pPr>
        <w:ind w:left="2242" w:hanging="420"/>
      </w:pPr>
      <w:rPr>
        <w:rFonts w:hint="eastAsia"/>
      </w:rPr>
    </w:lvl>
    <w:lvl w:ilvl="5" w:tentative="0">
      <w:start w:val="1"/>
      <w:numFmt w:val="lowerRoman"/>
      <w:lvlText w:val="%6."/>
      <w:lvlJc w:val="right"/>
      <w:pPr>
        <w:ind w:left="2662" w:hanging="420"/>
      </w:pPr>
      <w:rPr>
        <w:rFonts w:hint="eastAsia"/>
      </w:rPr>
    </w:lvl>
    <w:lvl w:ilvl="6" w:tentative="0">
      <w:start w:val="1"/>
      <w:numFmt w:val="decimal"/>
      <w:lvlText w:val="%7."/>
      <w:lvlJc w:val="left"/>
      <w:pPr>
        <w:ind w:left="3082" w:hanging="420"/>
      </w:pPr>
      <w:rPr>
        <w:rFonts w:hint="eastAsia"/>
      </w:rPr>
    </w:lvl>
    <w:lvl w:ilvl="7" w:tentative="0">
      <w:start w:val="1"/>
      <w:numFmt w:val="lowerLetter"/>
      <w:lvlText w:val="%8)"/>
      <w:lvlJc w:val="left"/>
      <w:pPr>
        <w:ind w:left="3502" w:hanging="420"/>
      </w:pPr>
      <w:rPr>
        <w:rFonts w:hint="eastAsia"/>
      </w:rPr>
    </w:lvl>
    <w:lvl w:ilvl="8" w:tentative="0">
      <w:start w:val="1"/>
      <w:numFmt w:val="lowerRoman"/>
      <w:lvlText w:val="%9."/>
      <w:lvlJc w:val="right"/>
      <w:pPr>
        <w:ind w:left="3922"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684"/>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8E"/>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2EF"/>
    <w:rsid w:val="000406A0"/>
    <w:rsid w:val="000406BF"/>
    <w:rsid w:val="0004075D"/>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25"/>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0E5"/>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38"/>
    <w:rsid w:val="000736FE"/>
    <w:rsid w:val="0007382E"/>
    <w:rsid w:val="0007383B"/>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DE4"/>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6F"/>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3EF"/>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99C"/>
    <w:rsid w:val="000E7BFB"/>
    <w:rsid w:val="000E7E33"/>
    <w:rsid w:val="000F0197"/>
    <w:rsid w:val="000F0274"/>
    <w:rsid w:val="000F07F2"/>
    <w:rsid w:val="000F08CA"/>
    <w:rsid w:val="000F09D3"/>
    <w:rsid w:val="000F09DC"/>
    <w:rsid w:val="000F0A9F"/>
    <w:rsid w:val="000F0B4E"/>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05"/>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876"/>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93"/>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2ED"/>
    <w:rsid w:val="00171341"/>
    <w:rsid w:val="00171602"/>
    <w:rsid w:val="0017162E"/>
    <w:rsid w:val="00171AED"/>
    <w:rsid w:val="00171BDE"/>
    <w:rsid w:val="00171C49"/>
    <w:rsid w:val="00171CE3"/>
    <w:rsid w:val="00171E62"/>
    <w:rsid w:val="00171FFE"/>
    <w:rsid w:val="00172728"/>
    <w:rsid w:val="001727A1"/>
    <w:rsid w:val="001728EB"/>
    <w:rsid w:val="00172B7D"/>
    <w:rsid w:val="00172D31"/>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567"/>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5F8"/>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4B"/>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CDB"/>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087"/>
    <w:rsid w:val="002240F1"/>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35"/>
    <w:rsid w:val="002367C0"/>
    <w:rsid w:val="002367DC"/>
    <w:rsid w:val="002368E3"/>
    <w:rsid w:val="00236B37"/>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5D1"/>
    <w:rsid w:val="0025795C"/>
    <w:rsid w:val="002579B6"/>
    <w:rsid w:val="00257CEC"/>
    <w:rsid w:val="00257D68"/>
    <w:rsid w:val="00257F3E"/>
    <w:rsid w:val="00260656"/>
    <w:rsid w:val="00260864"/>
    <w:rsid w:val="002608A2"/>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A50"/>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2C7C"/>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97F59"/>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0F2"/>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18"/>
    <w:rsid w:val="002D0281"/>
    <w:rsid w:val="002D03EA"/>
    <w:rsid w:val="002D0409"/>
    <w:rsid w:val="002D044B"/>
    <w:rsid w:val="002D09F9"/>
    <w:rsid w:val="002D0BA4"/>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85D"/>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C39"/>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5"/>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2E"/>
    <w:rsid w:val="00335095"/>
    <w:rsid w:val="0033522E"/>
    <w:rsid w:val="00335398"/>
    <w:rsid w:val="00335513"/>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0A5"/>
    <w:rsid w:val="0034314B"/>
    <w:rsid w:val="003436DC"/>
    <w:rsid w:val="003438B2"/>
    <w:rsid w:val="00344121"/>
    <w:rsid w:val="003441CB"/>
    <w:rsid w:val="003445A6"/>
    <w:rsid w:val="003449DC"/>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78E"/>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85B"/>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4E"/>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9EA"/>
    <w:rsid w:val="003C5B77"/>
    <w:rsid w:val="003C5DDB"/>
    <w:rsid w:val="003C64E1"/>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545"/>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47FF3"/>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3D5"/>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986"/>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61B"/>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152"/>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110"/>
    <w:rsid w:val="0049656E"/>
    <w:rsid w:val="004967BD"/>
    <w:rsid w:val="004967C0"/>
    <w:rsid w:val="00496B29"/>
    <w:rsid w:val="00496B60"/>
    <w:rsid w:val="00496BEE"/>
    <w:rsid w:val="00496C08"/>
    <w:rsid w:val="00496CC3"/>
    <w:rsid w:val="0049750F"/>
    <w:rsid w:val="00497601"/>
    <w:rsid w:val="00497D5C"/>
    <w:rsid w:val="004A019C"/>
    <w:rsid w:val="004A01EF"/>
    <w:rsid w:val="004A0312"/>
    <w:rsid w:val="004A031D"/>
    <w:rsid w:val="004A0486"/>
    <w:rsid w:val="004A0693"/>
    <w:rsid w:val="004A07F5"/>
    <w:rsid w:val="004A0C12"/>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A9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4F7C"/>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0B7"/>
    <w:rsid w:val="004D75E0"/>
    <w:rsid w:val="004D7671"/>
    <w:rsid w:val="004D7801"/>
    <w:rsid w:val="004D7B3E"/>
    <w:rsid w:val="004D7CB2"/>
    <w:rsid w:val="004E0138"/>
    <w:rsid w:val="004E0233"/>
    <w:rsid w:val="004E0426"/>
    <w:rsid w:val="004E05E9"/>
    <w:rsid w:val="004E0652"/>
    <w:rsid w:val="004E06BB"/>
    <w:rsid w:val="004E0853"/>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4B"/>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4F7D61"/>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3DA"/>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707"/>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1B"/>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BD1"/>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8E9"/>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6D9A"/>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B0E"/>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5B5A"/>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D72"/>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1AE"/>
    <w:rsid w:val="005C3260"/>
    <w:rsid w:val="005C32EA"/>
    <w:rsid w:val="005C3704"/>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3A"/>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AEF"/>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18A"/>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03"/>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1AC"/>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CF"/>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1E7C"/>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09"/>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48C"/>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4FA6"/>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2B6"/>
    <w:rsid w:val="006F4990"/>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503"/>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0B6"/>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D68"/>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D1"/>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114"/>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46"/>
    <w:rsid w:val="00787C71"/>
    <w:rsid w:val="00787D81"/>
    <w:rsid w:val="00787E3A"/>
    <w:rsid w:val="00787F39"/>
    <w:rsid w:val="00790340"/>
    <w:rsid w:val="00790790"/>
    <w:rsid w:val="00790ADE"/>
    <w:rsid w:val="00790B75"/>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1A9"/>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165"/>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134"/>
    <w:rsid w:val="007C7481"/>
    <w:rsid w:val="007C7494"/>
    <w:rsid w:val="007C7619"/>
    <w:rsid w:val="007C7ED6"/>
    <w:rsid w:val="007C7F34"/>
    <w:rsid w:val="007D028B"/>
    <w:rsid w:val="007D0914"/>
    <w:rsid w:val="007D0A74"/>
    <w:rsid w:val="007D0C36"/>
    <w:rsid w:val="007D0CDB"/>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2BE"/>
    <w:rsid w:val="00802437"/>
    <w:rsid w:val="0080250A"/>
    <w:rsid w:val="00802845"/>
    <w:rsid w:val="008028B7"/>
    <w:rsid w:val="00802BB3"/>
    <w:rsid w:val="00802E1E"/>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59E"/>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CE9"/>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90"/>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EA4"/>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75C"/>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B38"/>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0F"/>
    <w:rsid w:val="008C2E36"/>
    <w:rsid w:val="008C337D"/>
    <w:rsid w:val="008C37F1"/>
    <w:rsid w:val="008C39FD"/>
    <w:rsid w:val="008C3D7E"/>
    <w:rsid w:val="008C3E4D"/>
    <w:rsid w:val="008C4361"/>
    <w:rsid w:val="008C43F9"/>
    <w:rsid w:val="008C4776"/>
    <w:rsid w:val="008C4A8B"/>
    <w:rsid w:val="008C4ABA"/>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6FA3"/>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33D"/>
    <w:rsid w:val="009076B9"/>
    <w:rsid w:val="00907A1A"/>
    <w:rsid w:val="00907D3E"/>
    <w:rsid w:val="0091009B"/>
    <w:rsid w:val="0091024A"/>
    <w:rsid w:val="009102CC"/>
    <w:rsid w:val="00910535"/>
    <w:rsid w:val="009107C1"/>
    <w:rsid w:val="00910983"/>
    <w:rsid w:val="00910CEC"/>
    <w:rsid w:val="00910DF8"/>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7C7"/>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736"/>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A95"/>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05E"/>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14"/>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0C2"/>
    <w:rsid w:val="00993111"/>
    <w:rsid w:val="009934ED"/>
    <w:rsid w:val="009939DE"/>
    <w:rsid w:val="00993B09"/>
    <w:rsid w:val="00993B2B"/>
    <w:rsid w:val="00993B71"/>
    <w:rsid w:val="00993F7B"/>
    <w:rsid w:val="00994014"/>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30"/>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5A0"/>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5E"/>
    <w:rsid w:val="009D336F"/>
    <w:rsid w:val="009D34B0"/>
    <w:rsid w:val="009D34DB"/>
    <w:rsid w:val="009D3DF5"/>
    <w:rsid w:val="009D465C"/>
    <w:rsid w:val="009D4B3C"/>
    <w:rsid w:val="009D4E36"/>
    <w:rsid w:val="009D5070"/>
    <w:rsid w:val="009D5211"/>
    <w:rsid w:val="009D528E"/>
    <w:rsid w:val="009D5434"/>
    <w:rsid w:val="009D5730"/>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2F"/>
    <w:rsid w:val="009E52F7"/>
    <w:rsid w:val="009E5473"/>
    <w:rsid w:val="009E5537"/>
    <w:rsid w:val="009E5637"/>
    <w:rsid w:val="009E5BAD"/>
    <w:rsid w:val="009E6515"/>
    <w:rsid w:val="009E6A09"/>
    <w:rsid w:val="009E6CFB"/>
    <w:rsid w:val="009E6F67"/>
    <w:rsid w:val="009E71CC"/>
    <w:rsid w:val="009E73D8"/>
    <w:rsid w:val="009E75BF"/>
    <w:rsid w:val="009E763D"/>
    <w:rsid w:val="009E7682"/>
    <w:rsid w:val="009E79CF"/>
    <w:rsid w:val="009E7AFB"/>
    <w:rsid w:val="009E7C6E"/>
    <w:rsid w:val="009E7C9D"/>
    <w:rsid w:val="009E7D7E"/>
    <w:rsid w:val="009F0218"/>
    <w:rsid w:val="009F05AA"/>
    <w:rsid w:val="009F08B1"/>
    <w:rsid w:val="009F09D9"/>
    <w:rsid w:val="009F15CC"/>
    <w:rsid w:val="009F1617"/>
    <w:rsid w:val="009F1677"/>
    <w:rsid w:val="009F1937"/>
    <w:rsid w:val="009F1A38"/>
    <w:rsid w:val="009F1B65"/>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CA6"/>
    <w:rsid w:val="00A26D12"/>
    <w:rsid w:val="00A26FEC"/>
    <w:rsid w:val="00A270BB"/>
    <w:rsid w:val="00A2716D"/>
    <w:rsid w:val="00A27C09"/>
    <w:rsid w:val="00A27DAD"/>
    <w:rsid w:val="00A3016A"/>
    <w:rsid w:val="00A30531"/>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09D"/>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30D"/>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68"/>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79B"/>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5F9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2E89"/>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D2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371"/>
    <w:rsid w:val="00AE761D"/>
    <w:rsid w:val="00AE7BCA"/>
    <w:rsid w:val="00AE7FD5"/>
    <w:rsid w:val="00AF0040"/>
    <w:rsid w:val="00AF00BB"/>
    <w:rsid w:val="00AF0368"/>
    <w:rsid w:val="00AF05DE"/>
    <w:rsid w:val="00AF08D1"/>
    <w:rsid w:val="00AF0AC2"/>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84E"/>
    <w:rsid w:val="00B26BA4"/>
    <w:rsid w:val="00B2720F"/>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440"/>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8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8DA"/>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0E14"/>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77EC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793"/>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9E6"/>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2A"/>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4C"/>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4E10"/>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13"/>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6F84"/>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15"/>
    <w:rsid w:val="00C23784"/>
    <w:rsid w:val="00C2399B"/>
    <w:rsid w:val="00C239A7"/>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906"/>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BD"/>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3C"/>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55"/>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5"/>
    <w:rsid w:val="00C774B6"/>
    <w:rsid w:val="00C77ABC"/>
    <w:rsid w:val="00C8063E"/>
    <w:rsid w:val="00C80A42"/>
    <w:rsid w:val="00C80B7A"/>
    <w:rsid w:val="00C80C1E"/>
    <w:rsid w:val="00C80DD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9EE"/>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6C5"/>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11"/>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2F06"/>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6FE9"/>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A37"/>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18"/>
    <w:rsid w:val="00CF5520"/>
    <w:rsid w:val="00CF5569"/>
    <w:rsid w:val="00CF5680"/>
    <w:rsid w:val="00CF5848"/>
    <w:rsid w:val="00CF5876"/>
    <w:rsid w:val="00CF5BD4"/>
    <w:rsid w:val="00CF5E52"/>
    <w:rsid w:val="00CF5E5B"/>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28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262"/>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A22"/>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1F2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7D"/>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3DB"/>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03"/>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9784D"/>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1C6"/>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3E87"/>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75"/>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2EAB"/>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4B"/>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1A3"/>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7D4"/>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13E"/>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2FC"/>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322"/>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475"/>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72F"/>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A6"/>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1F47"/>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43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0D"/>
    <w:rsid w:val="00FA22AC"/>
    <w:rsid w:val="00FA235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D64"/>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CC8"/>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0F9"/>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439"/>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9BD0D88"/>
    <w:rsid w:val="23C33B92"/>
    <w:rsid w:val="5FDA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0"/>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0"/>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0"/>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0"/>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2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D:\AAAAAA&#35885;&#28103;&#23609;\&#35266;&#28857;&#25991;&#20214;\Nicotine%20Pouc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zh-CN" altLang="en-US"/>
              <a:t>全球市场规模（百万美元）</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2021</c:v>
                </c:pt>
                <c:pt idx="1">
                  <c:v>2026</c:v>
                </c:pt>
                <c:pt idx="2">
                  <c:v>2032</c:v>
                </c:pt>
              </c:numCache>
            </c:numRef>
          </c:cat>
          <c:val>
            <c:numRef>
              <c:f>全球总体!$S$7:$U$7</c:f>
              <c:numCache>
                <c:formatCode>#,##0.00_ </c:formatCode>
                <c:ptCount val="3"/>
                <c:pt idx="0">
                  <c:v>5670.51</c:v>
                </c:pt>
                <c:pt idx="1">
                  <c:v>8710.42</c:v>
                </c:pt>
                <c:pt idx="2">
                  <c:v>12513.64</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8509d1b1-7a1f-47c4-96bb-135c75c3d79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0.58902</cdr:x>
      <cdr:y>0.29585</cdr:y>
    </cdr:from>
    <cdr:to>
      <cdr:x>0.71969</cdr:x>
      <cdr:y>0.41466</cdr:y>
    </cdr:to>
    <cdr:sp>
      <cdr:nvSpPr>
        <cdr:cNvPr id="2" name="椭圆 1"/>
        <cdr:cNvSpPr/>
      </cdr:nvSpPr>
      <cdr:spPr xmlns:a="http://schemas.openxmlformats.org/drawingml/2006/main">
        <a:xfrm xmlns:a="http://schemas.openxmlformats.org/drawingml/2006/main" rot="21480000">
          <a:off x="5064833" y="905309"/>
          <a:ext cx="1123598" cy="36355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0.27177</cdr:x>
      <cdr:y>0.47615</cdr:y>
    </cdr:from>
    <cdr:to>
      <cdr:x>0.39723</cdr:x>
      <cdr:y>0.57637</cdr:y>
    </cdr:to>
    <cdr:sp>
      <cdr:nvSpPr>
        <cdr:cNvPr id="3" name="椭圆 2"/>
        <cdr:cNvSpPr/>
      </cdr:nvSpPr>
      <cdr:spPr xmlns:a="http://schemas.openxmlformats.org/drawingml/2006/main">
        <a:xfrm xmlns:a="http://schemas.openxmlformats.org/drawingml/2006/main" rot="21480000">
          <a:off x="2336863" y="1457007"/>
          <a:ext cx="1078799" cy="306673"/>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1999</Words>
  <Characters>2519</Characters>
  <Lines>31</Lines>
  <Paragraphs>8</Paragraphs>
  <TotalTime>962</TotalTime>
  <ScaleCrop>false</ScaleCrop>
  <LinksUpToDate>false</LinksUpToDate>
  <CharactersWithSpaces>2549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2026-01-27T03:30:48Z</dcterms:modified>
  <cp:revision>1156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81AE562B992B4BD1AA75FCCD09546505_12</vt:lpwstr>
  </property>
</Properties>
</file>