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OLE_LINK13"/>
      <w:bookmarkStart w:id="2" w:name="OLE_LINK15"/>
      <w:bookmarkStart w:id="3" w:name="OLE_LINK39"/>
      <w:bookmarkStart w:id="4" w:name="_Toc415818939"/>
      <w:bookmarkStart w:id="5" w:name="OLE_LINK24"/>
      <w:bookmarkStart w:id="6" w:name="_Toc415142861"/>
      <w:bookmarkStart w:id="7" w:name="_Toc415143481"/>
      <w:bookmarkStart w:id="8" w:name="OLE_LINK40"/>
      <w:bookmarkStart w:id="9" w:name="_Toc517262917"/>
      <w:bookmarkStart w:id="10" w:name="_Toc453597319"/>
      <w:bookmarkStart w:id="11" w:name="_Toc481801204"/>
      <w:bookmarkStart w:id="12" w:name="_Toc418070112"/>
      <w:bookmarkStart w:id="13" w:name="_Toc438987549"/>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纺织用数字喷墨打印机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纺织用数字喷墨打印机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纺织用数字喷墨打印机</w:t>
      </w:r>
      <w:r>
        <w:rPr>
          <w:rFonts w:hint="eastAsia"/>
          <w:lang w:eastAsia="zh-CN"/>
        </w:rPr>
        <w:t>全球市场总体规模</w:t>
      </w:r>
    </w:p>
    <w:p>
      <w:pPr>
        <w:pStyle w:val="145"/>
        <w:rPr>
          <w:lang w:eastAsia="zh-CN"/>
        </w:rPr>
      </w:pPr>
      <w:r>
        <w:rPr>
          <w:rFonts w:hint="eastAsia"/>
          <w:lang w:eastAsia="zh-CN"/>
        </w:rPr>
        <w:t>根据QYResearch最新调研报告显示，预计2</w:t>
      </w:r>
      <w:r>
        <w:rPr>
          <w:lang w:eastAsia="zh-CN"/>
        </w:rPr>
        <w:t>029</w:t>
      </w:r>
      <w:r>
        <w:rPr>
          <w:rFonts w:hint="eastAsia"/>
          <w:lang w:eastAsia="zh-CN"/>
        </w:rPr>
        <w:t>年全球</w:t>
      </w:r>
      <w:r>
        <w:rPr>
          <w:lang w:eastAsia="zh-CN"/>
        </w:rPr>
        <w:t>纺织用数字喷墨打印机</w:t>
      </w:r>
      <w:r>
        <w:rPr>
          <w:rFonts w:hint="eastAsia"/>
          <w:lang w:eastAsia="zh-CN"/>
        </w:rPr>
        <w:t>市场规模将达到</w:t>
      </w:r>
      <w:r>
        <w:rPr>
          <w:lang w:eastAsia="zh-CN"/>
        </w:rPr>
        <w:t>735.57</w:t>
      </w:r>
      <w:r>
        <w:rPr>
          <w:rFonts w:hint="eastAsia"/>
          <w:lang w:eastAsia="zh-CN"/>
        </w:rPr>
        <w:t>百万美元，未来几年年复合增长率CAGR为</w:t>
      </w:r>
      <w:r>
        <w:rPr>
          <w:lang w:eastAsia="zh-CN"/>
        </w:rPr>
        <w:t>5.2</w:t>
      </w:r>
      <w:r>
        <w:rPr>
          <w:rFonts w:hint="eastAsia"/>
          <w:lang w:eastAsia="zh-CN"/>
        </w:rPr>
        <w:t>%。</w:t>
      </w:r>
    </w:p>
    <w:p>
      <w:pPr>
        <w:pStyle w:val="145"/>
        <w:rPr>
          <w:lang w:eastAsia="zh-CN"/>
        </w:rPr>
      </w:pPr>
    </w:p>
    <w:p>
      <w:pPr>
        <w:pStyle w:val="148"/>
        <w:rPr>
          <w:lang w:eastAsia="zh-CN"/>
        </w:rPr>
      </w:pPr>
      <w:r>
        <w:rPr>
          <w:lang w:eastAsia="zh-CN"/>
        </w:rPr>
        <w:t>纺织用数字喷墨打印机</w:t>
      </w:r>
      <w:r>
        <w:rPr>
          <w:rFonts w:hint="eastAsia"/>
          <w:lang w:eastAsia="zh-CN"/>
        </w:rPr>
        <w:t>，全球市场总体规模，预计2</w:t>
      </w:r>
      <w:r>
        <w:rPr>
          <w:lang w:eastAsia="zh-CN"/>
        </w:rPr>
        <w:t>029</w:t>
      </w:r>
      <w:r>
        <w:rPr>
          <w:rFonts w:hint="eastAsia"/>
          <w:lang w:eastAsia="zh-CN"/>
        </w:rPr>
        <w:t>年达到</w:t>
      </w:r>
      <w:r>
        <w:rPr>
          <w:lang w:eastAsia="zh-CN"/>
        </w:rPr>
        <w:t>735.57</w:t>
      </w:r>
      <w:r>
        <w:rPr>
          <w:rFonts w:hint="eastAsia"/>
          <w:lang w:eastAsia="zh-CN"/>
        </w:rPr>
        <w:t>百万美元</w:t>
      </w:r>
    </w:p>
    <w:p>
      <w:pPr>
        <w:pStyle w:val="143"/>
        <w:rPr>
          <w:lang w:eastAsia="zh-CN"/>
        </w:rPr>
      </w:pPr>
      <w:r>
        <w:rPr>
          <w:lang w:val="en-US" w:eastAsia="zh-CN"/>
        </w:rPr>
        <w:drawing>
          <wp:inline distT="0" distB="0" distL="0" distR="0">
            <wp:extent cx="6188710" cy="293687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hint="eastAsia"/>
          <w:lang w:eastAsia="zh-CN"/>
        </w:rPr>
        <w:t>如上图表/数据，摘自QYResearch最新报告“全球</w:t>
      </w:r>
      <w:r>
        <w:rPr>
          <w:lang w:eastAsia="zh-CN"/>
        </w:rPr>
        <w:t>纺织用数字喷墨打印机</w:t>
      </w:r>
      <w:r>
        <w:rPr>
          <w:rFonts w:hint="eastAsia"/>
          <w:lang w:eastAsia="zh-CN"/>
        </w:rPr>
        <w:t>市场研究报告2023-2029</w:t>
      </w:r>
      <w:r>
        <w:rPr>
          <w:lang w:eastAsia="zh-CN"/>
        </w:rPr>
        <w:t>.</w:t>
      </w:r>
    </w:p>
    <w:p>
      <w:pPr>
        <w:widowControl/>
        <w:topLinePunct w:val="0"/>
        <w:spacing w:after="0"/>
        <w:jc w:val="left"/>
        <w:rPr>
          <w:i/>
          <w:color w:val="0D0D0D" w:themeColor="text1" w:themeTint="F2"/>
          <w:kern w:val="0"/>
          <w:sz w:val="16"/>
          <w:szCs w:val="22"/>
          <w:lang w:val="en-IN"/>
          <w14:textFill>
            <w14:solidFill>
              <w14:schemeClr w14:val="tx1">
                <w14:lumMod w14:val="95000"/>
                <w14:lumOff w14:val="5000"/>
              </w14:schemeClr>
            </w14:solidFill>
          </w14:textFill>
        </w:rPr>
      </w:pPr>
      <w:r>
        <w:br w:type="page"/>
      </w:r>
    </w:p>
    <w:p>
      <w:pPr>
        <w:pStyle w:val="143"/>
        <w:rPr>
          <w:lang w:eastAsia="zh-CN"/>
        </w:rPr>
      </w:pPr>
    </w:p>
    <w:p>
      <w:pPr>
        <w:pStyle w:val="167"/>
        <w:rPr>
          <w:lang w:eastAsia="zh-CN"/>
        </w:rPr>
      </w:pPr>
      <w:r>
        <w:rPr>
          <w:rFonts w:hint="eastAsia"/>
          <w:lang w:eastAsia="zh-CN"/>
        </w:rPr>
        <w:t>产品</w:t>
      </w:r>
      <w:r>
        <w:rPr>
          <w:lang w:eastAsia="zh-CN"/>
        </w:rPr>
        <w:t>定义</w:t>
      </w:r>
    </w:p>
    <w:p>
      <w:pPr>
        <w:pStyle w:val="145"/>
        <w:rPr>
          <w:lang w:eastAsia="zh-CN"/>
        </w:rPr>
      </w:pPr>
      <w:r>
        <w:rPr>
          <w:rFonts w:hint="eastAsia"/>
          <w:lang w:eastAsia="zh-CN"/>
        </w:rPr>
        <w:t>纺织品数码印花是利用数码喷墨印花技术在各种织物上压印出彩色图案的方法，即任何图案都可以轻松、准确地印在织物上。 纺织数码印花是纺织行业最有前途的发展之一。 在保持设计质量的同时，数字纺织品印花为满足纺织品印花不断增长的需求提供了多种可能性。 这种印刷技术不需要任何丝网，也没有颜色限制，使用这种技术可以在织物上印花，也可以直接在T恤、衬衫、牛仔裤等服装上印花。</w:t>
      </w:r>
    </w:p>
    <w:p>
      <w:pPr>
        <w:pStyle w:val="148"/>
        <w:rPr>
          <w:lang w:eastAsia="zh-CN"/>
        </w:rPr>
      </w:pPr>
      <w:r>
        <w:rPr>
          <w:lang w:eastAsia="zh-CN"/>
        </w:rPr>
        <w:t>纺织用数字喷墨打印机</w:t>
      </w:r>
    </w:p>
    <w:p>
      <w:pPr>
        <w:pStyle w:val="145"/>
        <w:rPr>
          <w:lang w:val="en-US" w:eastAsia="zh-CN"/>
        </w:rPr>
      </w:pPr>
      <w:r>
        <w:rPr>
          <w:lang w:val="en-US" w:eastAsia="zh-CN"/>
        </w:rPr>
        <w:drawing>
          <wp:inline distT="0" distB="0" distL="0" distR="0">
            <wp:extent cx="4371975" cy="265112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4379477" cy="2656292"/>
                    </a:xfrm>
                    <a:prstGeom prst="rect">
                      <a:avLst/>
                    </a:prstGeom>
                  </pic:spPr>
                </pic:pic>
              </a:graphicData>
            </a:graphic>
          </wp:inline>
        </w:drawing>
      </w:r>
    </w:p>
    <w:p>
      <w:pPr>
        <w:pStyle w:val="145"/>
        <w:rPr>
          <w:lang w:eastAsia="zh-CN"/>
        </w:rPr>
      </w:pP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个性化需求：消费者对个性化和定制化产品的需求不断增加，数字喷墨打印机能够提供灵活性和快速响应，满足这种需求。</w:t>
      </w:r>
    </w:p>
    <w:p>
      <w:pPr>
        <w:pStyle w:val="145"/>
        <w:rPr>
          <w:lang w:eastAsia="zh-CN"/>
        </w:rPr>
      </w:pPr>
      <w:r>
        <w:rPr>
          <w:rFonts w:hint="eastAsia"/>
          <w:lang w:eastAsia="zh-CN"/>
        </w:rPr>
        <w:t>节省时间和成本：相比传统的纺织品印刷方法（如丝网印刷），数字喷墨打印机可以更快速地实现生产，并降低颜料、劳动力和库存等方面的成本。</w:t>
      </w:r>
    </w:p>
    <w:p>
      <w:pPr>
        <w:pStyle w:val="145"/>
        <w:rPr>
          <w:lang w:eastAsia="zh-CN"/>
        </w:rPr>
      </w:pPr>
      <w:r>
        <w:rPr>
          <w:rFonts w:hint="eastAsia"/>
          <w:lang w:eastAsia="zh-CN"/>
        </w:rPr>
        <w:t>可持续性和环保要求：数字喷墨打印技术通常使用水性或染料墨水，相对于传统染色方法，它们减少了有害化学物质的使用和废弃物的排放，符合可持续发展和环保要求。</w:t>
      </w:r>
    </w:p>
    <w:p>
      <w:pPr>
        <w:pStyle w:val="145"/>
        <w:rPr>
          <w:lang w:eastAsia="zh-CN"/>
        </w:rPr>
      </w:pPr>
      <w:r>
        <w:rPr>
          <w:rFonts w:hint="eastAsia"/>
          <w:lang w:eastAsia="zh-CN"/>
        </w:rPr>
        <w:t>技术进步和印刷质量：数字喷墨技术的不断进步使得打印质量更高、图案更精细，可以实现更多的纹理和色彩效果，为纺织品提供更具吸引力的设计和样式。</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初始成本较高：数字喷墨打印机的初始投资较高，包括设备购买、培训和技术支持等方面的费用，这可能对小规模或新兴企业构成一定的限制。</w:t>
      </w:r>
    </w:p>
    <w:p>
      <w:pPr>
        <w:pStyle w:val="145"/>
        <w:rPr>
          <w:lang w:eastAsia="zh-CN"/>
        </w:rPr>
      </w:pPr>
      <w:r>
        <w:rPr>
          <w:rFonts w:hint="eastAsia"/>
          <w:lang w:eastAsia="zh-CN"/>
        </w:rPr>
        <w:t>处理复杂纺织品的挑战：某些纺织品，如特殊材质、细密纤维等，可能对数字喷墨打印机的适应性有所挑战，需要进一步的技术改进和调整。</w:t>
      </w:r>
    </w:p>
    <w:p>
      <w:pPr>
        <w:pStyle w:val="145"/>
        <w:rPr>
          <w:lang w:eastAsia="zh-CN"/>
        </w:rPr>
      </w:pPr>
      <w:r>
        <w:rPr>
          <w:rFonts w:hint="eastAsia"/>
          <w:lang w:eastAsia="zh-CN"/>
        </w:rPr>
        <w:t>生产速度限制：与传统的大规模生产方法相比，数字喷墨打印机的生产速度可能较慢，这在某些情况下可能会限制生产能力和交货时间。</w:t>
      </w:r>
    </w:p>
    <w:p>
      <w:pPr>
        <w:pStyle w:val="145"/>
        <w:rPr>
          <w:lang w:eastAsia="zh-CN"/>
        </w:rPr>
      </w:pP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新兴市场增长：亚太地区和拉丁美洲等新兴市场的纺织行业正在快速发展，数字喷墨打印机在这些市场中具有巨大的增长机会。</w:t>
      </w:r>
    </w:p>
    <w:p>
      <w:pPr>
        <w:pStyle w:val="145"/>
        <w:rPr>
          <w:lang w:eastAsia="zh-CN"/>
        </w:rPr>
      </w:pPr>
      <w:r>
        <w:rPr>
          <w:rFonts w:hint="eastAsia"/>
          <w:lang w:eastAsia="zh-CN"/>
        </w:rPr>
        <w:t>创新应用领域：数字喷墨打印机不断推动着纺织品设计和创新，例如在时尚、家居装饰、户外用品等领域，提供更多创意和个性化选择。</w:t>
      </w:r>
    </w:p>
    <w:p>
      <w:pPr>
        <w:pStyle w:val="145"/>
        <w:rPr>
          <w:lang w:eastAsia="zh-CN"/>
        </w:rPr>
      </w:pPr>
    </w:p>
    <w:p>
      <w:pPr>
        <w:pStyle w:val="148"/>
        <w:rPr>
          <w:lang w:eastAsia="zh-CN"/>
        </w:rPr>
      </w:pPr>
      <w:r>
        <w:rPr>
          <w:rFonts w:hint="eastAsia"/>
          <w:lang w:eastAsia="zh-CN"/>
        </w:rPr>
        <w:t>全球</w:t>
      </w:r>
      <w:r>
        <w:rPr>
          <w:lang w:eastAsia="zh-CN"/>
        </w:rPr>
        <w:t>纺织用数字喷墨打印机</w:t>
      </w:r>
      <w:r>
        <w:rPr>
          <w:rFonts w:hint="eastAsia"/>
          <w:lang w:eastAsia="zh-CN"/>
        </w:rPr>
        <w:t>市场前</w:t>
      </w:r>
      <w:r>
        <w:rPr>
          <w:lang w:eastAsia="zh-CN"/>
        </w:rPr>
        <w:t>20</w:t>
      </w:r>
      <w:r>
        <w:rPr>
          <w:rFonts w:hint="eastAsia"/>
          <w:lang w:eastAsia="zh-CN"/>
        </w:rPr>
        <w:t>强生产商排名及市场占有率（持续更新）</w:t>
      </w:r>
    </w:p>
    <w:p>
      <w:pPr>
        <w:pStyle w:val="143"/>
        <w:rPr>
          <w:lang w:eastAsia="zh-CN"/>
        </w:rPr>
      </w:pPr>
      <w:r>
        <w:rPr>
          <w:lang w:val="en-US" w:eastAsia="zh-CN"/>
        </w:rPr>
        <w:drawing>
          <wp:inline distT="0" distB="0" distL="0" distR="0">
            <wp:extent cx="6191885"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hint="eastAsia"/>
          <w:lang w:eastAsia="zh-CN"/>
        </w:rPr>
        <w:t>如上图表/数据，摘自QYResearch最新报告“全球</w:t>
      </w:r>
      <w:r>
        <w:rPr>
          <w:lang w:eastAsia="zh-CN"/>
        </w:rPr>
        <w:t>纺织用数字喷墨打印机</w:t>
      </w:r>
      <w:r>
        <w:rPr>
          <w:rFonts w:hint="eastAsia"/>
          <w:lang w:eastAsia="zh-CN"/>
        </w:rPr>
        <w:t>市场研究报告2023-2029</w:t>
      </w:r>
      <w:r>
        <w:rPr>
          <w:lang w:eastAsia="zh-CN"/>
        </w:rPr>
        <w:t>.</w:t>
      </w:r>
    </w:p>
    <w:p>
      <w:pPr>
        <w:pStyle w:val="145"/>
        <w:rPr>
          <w:lang w:eastAsia="zh-CN"/>
        </w:rPr>
      </w:pPr>
      <w:r>
        <w:rPr>
          <w:rFonts w:hint="eastAsia"/>
          <w:lang w:eastAsia="zh-CN"/>
        </w:rPr>
        <w:t>全球范围内，</w:t>
      </w:r>
      <w:r>
        <w:rPr>
          <w:lang w:eastAsia="zh-CN"/>
        </w:rPr>
        <w:t>纺织用数字喷墨打印机</w:t>
      </w:r>
      <w:r>
        <w:rPr>
          <w:rFonts w:hint="eastAsia"/>
          <w:lang w:eastAsia="zh-CN"/>
        </w:rPr>
        <w:t>主要生产商包括Kornit Digital，杭州宏华数码科，Dover，Electronics for Imaging和MIMAKI等，其中前五大厂商占有大约</w:t>
      </w:r>
      <w:r>
        <w:rPr>
          <w:lang w:eastAsia="zh-CN"/>
        </w:rPr>
        <w:t>57.45%</w:t>
      </w:r>
      <w:r>
        <w:rPr>
          <w:rFonts w:hint="eastAsia"/>
          <w:lang w:eastAsia="zh-CN"/>
        </w:rPr>
        <w:t>的市场份额。</w:t>
      </w:r>
    </w:p>
    <w:p>
      <w:pPr>
        <w:pStyle w:val="145"/>
        <w:rPr>
          <w:lang w:eastAsia="zh-CN"/>
        </w:rPr>
      </w:pPr>
      <w:r>
        <w:rPr>
          <w:rFonts w:hint="eastAsia"/>
          <w:lang w:eastAsia="zh-CN"/>
        </w:rPr>
        <w:t>目前，全球核心厂商主要分布在美国、欧洲</w:t>
      </w:r>
      <w:r>
        <w:rPr>
          <w:lang w:eastAsia="zh-CN"/>
        </w:rPr>
        <w:t>、日本和中国</w:t>
      </w:r>
      <w:r>
        <w:rPr>
          <w:rFonts w:hint="eastAsia"/>
          <w:lang w:eastAsia="zh-CN"/>
        </w:rPr>
        <w:t>。</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lang w:eastAsia="zh-CN"/>
        </w:rPr>
        <w:t>纺织用数字喷墨打印机</w:t>
      </w:r>
      <w:r>
        <w:rPr>
          <w:rFonts w:hint="eastAsia"/>
          <w:lang w:eastAsia="zh-CN"/>
        </w:rPr>
        <w:t>，全球市场规模，按产品类型细分，热转印打印机处于主导地位</w:t>
      </w:r>
    </w:p>
    <w:p>
      <w:pPr>
        <w:pStyle w:val="145"/>
        <w:rPr>
          <w:lang w:eastAsia="zh-CN"/>
        </w:rPr>
      </w:pPr>
      <w:r>
        <w:rPr>
          <w:lang w:val="en-US" w:eastAsia="zh-CN"/>
        </w:rPr>
        <w:drawing>
          <wp:inline distT="0" distB="0" distL="0" distR="0">
            <wp:extent cx="2879725" cy="2879725"/>
            <wp:effectExtent l="0" t="0" r="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lang w:val="en-US" w:eastAsia="zh-CN"/>
        </w:rPr>
        <w:drawing>
          <wp:inline distT="0" distB="0" distL="0" distR="0">
            <wp:extent cx="2879725" cy="2879725"/>
            <wp:effectExtent l="0" t="0" r="0" b="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lang w:val="en-US" w:eastAsia="zh-CN"/>
        </w:rPr>
        <w:drawing>
          <wp:inline distT="0" distB="0" distL="0" distR="0">
            <wp:extent cx="6188710" cy="2922270"/>
            <wp:effectExtent l="0" t="0" r="2540" b="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3"/>
        <w:rPr>
          <w:lang w:eastAsia="zh-CN"/>
        </w:rPr>
      </w:pPr>
      <w:r>
        <w:rPr>
          <w:rFonts w:hint="eastAsia"/>
          <w:lang w:eastAsia="zh-CN"/>
        </w:rPr>
        <w:t>如上图表/数据，摘自QYResearch最新报告“全球</w:t>
      </w:r>
      <w:r>
        <w:rPr>
          <w:lang w:eastAsia="zh-CN"/>
        </w:rPr>
        <w:t>纺织用数字喷墨打印机</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就产品类型而言，目前热转印打印机是最主要的细分产品，占据大约</w:t>
      </w:r>
      <w:r>
        <w:rPr>
          <w:lang w:eastAsia="zh-CN"/>
        </w:rPr>
        <w:t>72.5%</w:t>
      </w:r>
      <w:r>
        <w:rPr>
          <w:rFonts w:hint="eastAsia"/>
          <w:lang w:eastAsia="zh-CN"/>
        </w:rPr>
        <w:t>的份额。</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lang w:eastAsia="zh-CN"/>
        </w:rPr>
        <w:t>纺织用数字喷墨打印机</w:t>
      </w:r>
      <w:r>
        <w:rPr>
          <w:rFonts w:hint="eastAsia"/>
          <w:lang w:eastAsia="zh-CN"/>
        </w:rPr>
        <w:t>，全球市场规模，按应用细分，服装业是最大的下游市场，占有</w:t>
      </w:r>
      <w:r>
        <w:rPr>
          <w:lang w:eastAsia="zh-CN"/>
        </w:rPr>
        <w:t>58.5%</w:t>
      </w:r>
      <w:r>
        <w:rPr>
          <w:rFonts w:hint="eastAsia"/>
          <w:lang w:eastAsia="zh-CN"/>
        </w:rPr>
        <w:t>份额</w:t>
      </w:r>
    </w:p>
    <w:p>
      <w:pPr>
        <w:pStyle w:val="145"/>
        <w:rPr>
          <w:lang w:eastAsia="zh-CN"/>
        </w:rPr>
      </w:pPr>
      <w:r>
        <w:rPr>
          <w:lang w:val="en-US" w:eastAsia="zh-CN"/>
        </w:rPr>
        <w:drawing>
          <wp:inline distT="0" distB="0" distL="0" distR="0">
            <wp:extent cx="2879725" cy="287972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t xml:space="preserve"> </w:t>
      </w:r>
      <w:r>
        <w:rPr>
          <w:lang w:val="en-US" w:eastAsia="zh-CN"/>
        </w:rPr>
        <w:drawing>
          <wp:inline distT="0" distB="0" distL="0" distR="0">
            <wp:extent cx="2879725" cy="2879725"/>
            <wp:effectExtent l="0" t="0" r="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5"/>
        <w:rPr>
          <w:lang w:eastAsia="zh-CN"/>
        </w:rPr>
      </w:pPr>
      <w:r>
        <w:rPr>
          <w:lang w:val="en-US" w:eastAsia="zh-CN"/>
        </w:rPr>
        <w:drawing>
          <wp:inline distT="0" distB="0" distL="0" distR="0">
            <wp:extent cx="6188710" cy="2922270"/>
            <wp:effectExtent l="0" t="0" r="254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3"/>
        <w:rPr>
          <w:lang w:eastAsia="zh-CN"/>
        </w:rPr>
      </w:pPr>
      <w:r>
        <w:rPr>
          <w:rFonts w:hint="eastAsia"/>
          <w:lang w:eastAsia="zh-CN"/>
        </w:rPr>
        <w:t>如上图表/数据，摘自QYResearch最新报告“全球</w:t>
      </w:r>
      <w:r>
        <w:rPr>
          <w:lang w:eastAsia="zh-CN"/>
        </w:rPr>
        <w:t>纺织用数字喷墨打印机</w:t>
      </w:r>
      <w:r>
        <w:rPr>
          <w:rFonts w:hint="eastAsia"/>
          <w:lang w:eastAsia="zh-CN"/>
        </w:rPr>
        <w:t>市场研究报告2023-2029</w:t>
      </w:r>
      <w:r>
        <w:rPr>
          <w:lang w:eastAsia="zh-CN"/>
        </w:rPr>
        <w:t>.</w:t>
      </w:r>
    </w:p>
    <w:p>
      <w:pPr>
        <w:pStyle w:val="145"/>
        <w:rPr>
          <w:lang w:eastAsia="zh-CN"/>
        </w:rPr>
      </w:pPr>
      <w:r>
        <w:rPr>
          <w:rFonts w:hint="eastAsia"/>
          <w:lang w:eastAsia="zh-CN"/>
        </w:rPr>
        <w:t>就应用领域而言，目前服装业是最主要的应用，占据大约</w:t>
      </w:r>
      <w:r>
        <w:rPr>
          <w:lang w:eastAsia="zh-CN"/>
        </w:rPr>
        <w:t>58.5%</w:t>
      </w:r>
      <w:r>
        <w:rPr>
          <w:rFonts w:hint="eastAsia"/>
          <w:lang w:eastAsia="zh-CN"/>
        </w:rPr>
        <w:t>的份额。</w:t>
      </w:r>
    </w:p>
    <w:p>
      <w:pPr>
        <w:pStyle w:val="145"/>
        <w:rPr>
          <w:lang w:eastAsia="zh-CN"/>
        </w:rPr>
      </w:pPr>
    </w:p>
    <w:p>
      <w:pPr>
        <w:pStyle w:val="145"/>
        <w:rPr>
          <w:lang w:eastAsia="zh-CN"/>
        </w:rPr>
      </w:pPr>
    </w:p>
    <w:p>
      <w:pPr>
        <w:pStyle w:val="145"/>
        <w:rPr>
          <w:lang w:eastAsia="zh-CN"/>
        </w:rPr>
      </w:pPr>
    </w:p>
    <w:p>
      <w:pPr>
        <w:pStyle w:val="148"/>
        <w:rPr>
          <w:lang w:eastAsia="zh-CN"/>
        </w:rPr>
      </w:pPr>
      <w:r>
        <w:rPr>
          <w:rFonts w:hint="eastAsia"/>
          <w:lang w:eastAsia="zh-CN"/>
        </w:rPr>
        <w:t>全球</w:t>
      </w:r>
      <w:r>
        <w:rPr>
          <w:lang w:eastAsia="zh-CN"/>
        </w:rPr>
        <w:t>纺织用数字喷墨打印机</w:t>
      </w:r>
      <w:r>
        <w:rPr>
          <w:rFonts w:hint="eastAsia"/>
          <w:lang w:eastAsia="zh-CN"/>
        </w:rPr>
        <w:t>规模，主要生产地区份额（按产值）</w:t>
      </w:r>
    </w:p>
    <w:p>
      <w:pPr>
        <w:pStyle w:val="143"/>
        <w:rPr>
          <w:lang w:eastAsia="zh-CN"/>
        </w:rPr>
      </w:pPr>
      <w:r>
        <w:rPr>
          <w:lang w:val="en-US" w:eastAsia="zh-CN"/>
        </w:rPr>
        <w:drawing>
          <wp:inline distT="0" distB="0" distL="0" distR="0">
            <wp:extent cx="6188710" cy="2922270"/>
            <wp:effectExtent l="0" t="0" r="254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Pr>
          <w:lang w:val="en-US" w:eastAsia="zh-CN"/>
        </w:rPr>
        <w:drawing>
          <wp:inline distT="0" distB="0" distL="0" distR="0">
            <wp:extent cx="6188710" cy="2922270"/>
            <wp:effectExtent l="0" t="0" r="2540" b="0"/>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Pr>
          <w:rFonts w:hint="eastAsia"/>
          <w:lang w:eastAsia="zh-CN"/>
        </w:rPr>
        <w:t>如上图表/数据，摘自QYResearch最新报告“全球</w:t>
      </w:r>
      <w:r>
        <w:rPr>
          <w:lang w:eastAsia="zh-CN"/>
        </w:rPr>
        <w:t>纺织用数字喷墨打印机</w:t>
      </w:r>
      <w:r>
        <w:rPr>
          <w:rFonts w:hint="eastAsia"/>
          <w:lang w:eastAsia="zh-CN"/>
        </w:rPr>
        <w:t>市场研究报告2023-2029</w:t>
      </w:r>
      <w:r>
        <w:rPr>
          <w:lang w:eastAsia="zh-CN"/>
        </w:rPr>
        <w:t>.</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rFonts w:hint="eastAsia"/>
          <w:lang w:eastAsia="zh-CN"/>
        </w:rPr>
        <w:t>全球主要市场</w:t>
      </w:r>
      <w:r>
        <w:rPr>
          <w:lang w:eastAsia="zh-CN"/>
        </w:rPr>
        <w:t>纺织用数字喷墨打印机</w:t>
      </w:r>
      <w:r>
        <w:rPr>
          <w:rFonts w:hint="eastAsia"/>
          <w:lang w:eastAsia="zh-CN"/>
        </w:rPr>
        <w:t>规模</w:t>
      </w:r>
    </w:p>
    <w:p>
      <w:pPr>
        <w:pStyle w:val="143"/>
        <w:rPr>
          <w:lang w:eastAsia="zh-CN"/>
        </w:rPr>
      </w:pPr>
      <w:r>
        <w:rPr>
          <w:lang w:val="en-US" w:eastAsia="zh-CN"/>
        </w:rPr>
        <w:drawing>
          <wp:inline distT="0" distB="0" distL="0" distR="0">
            <wp:extent cx="5908040" cy="3059430"/>
            <wp:effectExtent l="0" t="0" r="0" b="762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Pr>
          <w:lang w:val="en-US" w:eastAsia="zh-CN"/>
        </w:rPr>
        <w:drawing>
          <wp:inline distT="0" distB="0" distL="0" distR="0">
            <wp:extent cx="6188710" cy="2922270"/>
            <wp:effectExtent l="0" t="0" r="254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Pr>
          <w:rFonts w:hint="eastAsia"/>
          <w:lang w:eastAsia="zh-CN"/>
        </w:rPr>
        <w:t>如上图表/数据，摘自QYResearch最新报告“全球</w:t>
      </w:r>
      <w:r>
        <w:rPr>
          <w:lang w:eastAsia="zh-CN"/>
        </w:rPr>
        <w:t>纺织用数字喷墨打印机</w:t>
      </w:r>
      <w:r>
        <w:rPr>
          <w:rFonts w:hint="eastAsia"/>
          <w:lang w:eastAsia="zh-CN"/>
        </w:rPr>
        <w:t>市场研究报告2023-2029</w:t>
      </w:r>
      <w:r>
        <w:rPr>
          <w:lang w:eastAsia="zh-CN"/>
        </w:rPr>
        <w:t>.</w:t>
      </w:r>
    </w:p>
    <w:p>
      <w:pPr>
        <w:pStyle w:val="145"/>
        <w:rPr>
          <w:lang w:eastAsia="zh-CN"/>
        </w:rPr>
      </w:pPr>
    </w:p>
    <w:p>
      <w:pPr>
        <w:pStyle w:val="145"/>
        <w:rPr>
          <w:lang w:eastAsia="zh-CN"/>
        </w:rPr>
      </w:pPr>
    </w:p>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0000000000000000000"/>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0000000000000000000"/>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47B"/>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1E"/>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3F57"/>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69D"/>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76A"/>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1C"/>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0A"/>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5EE6"/>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0E1"/>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37"/>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7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978"/>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A42"/>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C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0B7"/>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51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10"/>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00"/>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723"/>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3F6F"/>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2ED"/>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D771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chart" Target="charts/chart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chart" Target="charts/chart12.xml"/><Relationship Id="rId2" Type="http://schemas.openxmlformats.org/officeDocument/2006/relationships/settings" Target="settings.xml"/><Relationship Id="rId19" Type="http://schemas.openxmlformats.org/officeDocument/2006/relationships/chart" Target="charts/chart11.xml"/><Relationship Id="rId18" Type="http://schemas.openxmlformats.org/officeDocument/2006/relationships/chart" Target="charts/chart10.xml"/><Relationship Id="rId17" Type="http://schemas.openxmlformats.org/officeDocument/2006/relationships/chart" Target="charts/chart9.xml"/><Relationship Id="rId16" Type="http://schemas.openxmlformats.org/officeDocument/2006/relationships/chart" Target="charts/chart8.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Administrator\Desktop\&#23459;&#20256;&#31295;\&#32442;&#32455;&#29992;&#25968;&#23383;&#21943;&#22696;&#25171;&#21360;&#26426;\&#35266;&#28857;&#25968;&#25454;&#22270;&#34920;&#27169;&#26495;-20231008%20&#33521;&#2599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全球市场规模</a:t>
            </a:r>
            <a:r>
              <a:rPr lang="en-US" altLang="zh-CN" sz="1100">
                <a:latin typeface="Book Antiqua" panose="02040602050305030304" pitchFamily="1" charset="0"/>
              </a:rPr>
              <a:t> (</a:t>
            </a:r>
            <a:r>
              <a:rPr lang="zh-CN" altLang="en-US" sz="1100">
                <a:latin typeface="Book Antiqua" panose="02040602050305030304" pitchFamily="1" charset="0"/>
              </a:rPr>
              <a:t>百万美元</a:t>
            </a:r>
            <a:r>
              <a:rPr lang="en-US" altLang="zh-CN" sz="1100">
                <a:latin typeface="Book Antiqua" panose="02040602050305030304" pitchFamily="1" charset="0"/>
              </a:rPr>
              <a:t>)</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#,##0.00_ </c:formatCode>
                <c:ptCount val="3"/>
                <c:pt idx="0">
                  <c:v>453.91</c:v>
                </c:pt>
                <c:pt idx="1">
                  <c:v>530.21</c:v>
                </c:pt>
                <c:pt idx="2">
                  <c:v>735.57</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Pt>
            <c:idx val="19"/>
            <c:invertIfNegative val="0"/>
            <c:bubble3D val="0"/>
            <c:spPr>
              <a:solidFill>
                <a:schemeClr val="accent2">
                  <a:lumMod val="80000"/>
                </a:schemeClr>
              </a:solidFill>
              <a:ln>
                <a:noFill/>
              </a:ln>
              <a:effectLst/>
            </c:spPr>
          </c:dPt>
          <c:dLbls>
            <c:delete val="1"/>
          </c:dLbls>
          <c:cat>
            <c:strRef>
              <c:f>企业排序!$F$2:$F$21</c:f>
              <c:strCache>
                <c:ptCount val="20"/>
                <c:pt idx="0">
                  <c:v>佳能</c:v>
                </c:pt>
                <c:pt idx="1">
                  <c:v>精工爱普生</c:v>
                </c:pt>
                <c:pt idx="2">
                  <c:v>Shanghai Signstar Digital Technology</c:v>
                </c:pt>
                <c:pt idx="3">
                  <c:v>兄弟工业</c:v>
                </c:pt>
                <c:pt idx="4">
                  <c:v>JHF</c:v>
                </c:pt>
                <c:pt idx="5">
                  <c:v>AMICA System</c:v>
                </c:pt>
                <c:pt idx="6">
                  <c:v>深圳润天智数字设备</c:v>
                </c:pt>
                <c:pt idx="7">
                  <c:v>Colorjet India Limited</c:v>
                </c:pt>
                <c:pt idx="8">
                  <c:v>aeoon Technologies</c:v>
                </c:pt>
                <c:pt idx="9">
                  <c:v>ZIMMER AUSTRIA</c:v>
                </c:pt>
                <c:pt idx="10">
                  <c:v>Roland DG</c:v>
                </c:pt>
                <c:pt idx="11">
                  <c:v>武藤</c:v>
                </c:pt>
                <c:pt idx="12">
                  <c:v>Konica Minolta</c:v>
                </c:pt>
                <c:pt idx="13">
                  <c:v>汉弘集团</c:v>
                </c:pt>
                <c:pt idx="14">
                  <c:v>道斯特</c:v>
                </c:pt>
                <c:pt idx="15">
                  <c:v>MIMAKI</c:v>
                </c:pt>
                <c:pt idx="16">
                  <c:v>EFI</c:v>
                </c:pt>
                <c:pt idx="17">
                  <c:v>Dover</c:v>
                </c:pt>
                <c:pt idx="18">
                  <c:v>杭州宏华数码科</c:v>
                </c:pt>
                <c:pt idx="19">
                  <c:v>Kornit Digital</c:v>
                </c:pt>
              </c:strCache>
            </c:strRef>
          </c:cat>
          <c:val>
            <c:numRef>
              <c:f>企业排序!$G$2:$G$21</c:f>
              <c:numCache>
                <c:formatCode>#,##0.00_ </c:formatCode>
                <c:ptCount val="20"/>
                <c:pt idx="0">
                  <c:v>1.56</c:v>
                </c:pt>
                <c:pt idx="1">
                  <c:v>1.64</c:v>
                </c:pt>
                <c:pt idx="2">
                  <c:v>1.74</c:v>
                </c:pt>
                <c:pt idx="3">
                  <c:v>1.79</c:v>
                </c:pt>
                <c:pt idx="4">
                  <c:v>1.89</c:v>
                </c:pt>
                <c:pt idx="5">
                  <c:v>3.29</c:v>
                </c:pt>
                <c:pt idx="6">
                  <c:v>4.03</c:v>
                </c:pt>
                <c:pt idx="7">
                  <c:v>4.09</c:v>
                </c:pt>
                <c:pt idx="8">
                  <c:v>4.18</c:v>
                </c:pt>
                <c:pt idx="9">
                  <c:v>5.05</c:v>
                </c:pt>
                <c:pt idx="10">
                  <c:v>8.79</c:v>
                </c:pt>
                <c:pt idx="11">
                  <c:v>14.01</c:v>
                </c:pt>
                <c:pt idx="12">
                  <c:v>15.85</c:v>
                </c:pt>
                <c:pt idx="13">
                  <c:v>28.9</c:v>
                </c:pt>
                <c:pt idx="14">
                  <c:v>30.94</c:v>
                </c:pt>
                <c:pt idx="15">
                  <c:v>34.59</c:v>
                </c:pt>
                <c:pt idx="16">
                  <c:v>40.17</c:v>
                </c:pt>
                <c:pt idx="17">
                  <c:v>48.98</c:v>
                </c:pt>
                <c:pt idx="18">
                  <c:v>56.97</c:v>
                </c:pt>
                <c:pt idx="19">
                  <c:v>125.09</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1731154884581"/>
          <c:y val="0.44214638550556"/>
        </c:manualLayout>
      </c:layout>
      <c:overlay val="0"/>
      <c:spPr>
        <a:noFill/>
        <a:ln>
          <a:noFill/>
        </a:ln>
        <a:effectLst/>
      </c:spPr>
    </c:title>
    <c:autoTitleDeleted val="0"/>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分类!$R$2:$R$4</c:f>
              <c:strCache>
                <c:ptCount val="3"/>
                <c:pt idx="0">
                  <c:v>热转印打印机</c:v>
                </c:pt>
                <c:pt idx="1">
                  <c:v>直喷织物打印机</c:v>
                </c:pt>
                <c:pt idx="2">
                  <c:v>直喷服装打印机</c:v>
                </c:pt>
              </c:strCache>
            </c:strRef>
          </c:cat>
          <c:val>
            <c:numRef>
              <c:f>分类!$AF$2:$AF$4</c:f>
              <c:numCache>
                <c:formatCode>0.0%</c:formatCode>
                <c:ptCount val="3"/>
                <c:pt idx="0">
                  <c:v>0.724826012334735</c:v>
                </c:pt>
                <c:pt idx="1">
                  <c:v>0.195582882254201</c:v>
                </c:pt>
                <c:pt idx="2">
                  <c:v>0.0795911054110635</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8725572754343"/>
          <c:y val="0.43843318372414"/>
        </c:manualLayout>
      </c:layout>
      <c:overlay val="0"/>
      <c:spPr>
        <a:noFill/>
        <a:ln>
          <a:noFill/>
        </a:ln>
        <a:effectLst/>
      </c:spPr>
    </c:title>
    <c:autoTitleDeleted val="0"/>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分类!$R$2:$R$4</c:f>
              <c:strCache>
                <c:ptCount val="3"/>
                <c:pt idx="0">
                  <c:v>热转印打印机</c:v>
                </c:pt>
                <c:pt idx="1">
                  <c:v>直喷织物打印机</c:v>
                </c:pt>
                <c:pt idx="2">
                  <c:v>直喷服装打印机</c:v>
                </c:pt>
              </c:strCache>
            </c:strRef>
          </c:cat>
          <c:val>
            <c:numRef>
              <c:f>分类!$AG$2:$AG$4</c:f>
              <c:numCache>
                <c:formatCode>0.0%</c:formatCode>
                <c:ptCount val="3"/>
                <c:pt idx="0">
                  <c:v>0.707029922373126</c:v>
                </c:pt>
                <c:pt idx="1">
                  <c:v>0.215451962423699</c:v>
                </c:pt>
                <c:pt idx="2">
                  <c:v>0.0775181152031758</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热转印打印机</c:v>
                </c:pt>
              </c:strCache>
            </c:strRef>
          </c:tx>
          <c:spPr>
            <a:solidFill>
              <a:srgbClr val="00206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分类!$S$2:$AD$2</c:f>
              <c:numCache>
                <c:formatCode>0.0%</c:formatCode>
                <c:ptCount val="12"/>
                <c:pt idx="0">
                  <c:v>0.743605560573682</c:v>
                </c:pt>
                <c:pt idx="1">
                  <c:v>0.735970980594264</c:v>
                </c:pt>
                <c:pt idx="2">
                  <c:v>0.738072120486825</c:v>
                </c:pt>
                <c:pt idx="3">
                  <c:v>0.729379198203604</c:v>
                </c:pt>
                <c:pt idx="4">
                  <c:v>0.724826012334735</c:v>
                </c:pt>
                <c:pt idx="5">
                  <c:v>0.728820727827734</c:v>
                </c:pt>
                <c:pt idx="6">
                  <c:v>0.719452935875462</c:v>
                </c:pt>
                <c:pt idx="7">
                  <c:v>0.721350713756823</c:v>
                </c:pt>
                <c:pt idx="8">
                  <c:v>0.719050591379779</c:v>
                </c:pt>
                <c:pt idx="9">
                  <c:v>0.715134590024048</c:v>
                </c:pt>
                <c:pt idx="10">
                  <c:v>0.711882107217452</c:v>
                </c:pt>
                <c:pt idx="11">
                  <c:v>0.707029922373126</c:v>
                </c:pt>
              </c:numCache>
            </c:numRef>
          </c:val>
        </c:ser>
        <c:ser>
          <c:idx val="1"/>
          <c:order val="1"/>
          <c:tx>
            <c:strRef>
              <c:f>分类!$R$3</c:f>
              <c:strCache>
                <c:ptCount val="1"/>
                <c:pt idx="0">
                  <c:v>直喷织物打印机</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分类!$S$3:$AD$3</c:f>
              <c:numCache>
                <c:formatCode>0.0%</c:formatCode>
                <c:ptCount val="12"/>
                <c:pt idx="0">
                  <c:v>0.184574034500231</c:v>
                </c:pt>
                <c:pt idx="1">
                  <c:v>0.189280263236139</c:v>
                </c:pt>
                <c:pt idx="2">
                  <c:v>0.18734617382076</c:v>
                </c:pt>
                <c:pt idx="3">
                  <c:v>0.195706459668209</c:v>
                </c:pt>
                <c:pt idx="4">
                  <c:v>0.195582882254201</c:v>
                </c:pt>
                <c:pt idx="5">
                  <c:v>0.194277413067064</c:v>
                </c:pt>
                <c:pt idx="6">
                  <c:v>0.202233491774601</c:v>
                </c:pt>
                <c:pt idx="7">
                  <c:v>0.202693162054655</c:v>
                </c:pt>
                <c:pt idx="8">
                  <c:v>0.203229781853684</c:v>
                </c:pt>
                <c:pt idx="9">
                  <c:v>0.206159335970832</c:v>
                </c:pt>
                <c:pt idx="10">
                  <c:v>0.210765258760733</c:v>
                </c:pt>
                <c:pt idx="11">
                  <c:v>0.215451962423699</c:v>
                </c:pt>
              </c:numCache>
            </c:numRef>
          </c:val>
        </c:ser>
        <c:ser>
          <c:idx val="2"/>
          <c:order val="2"/>
          <c:tx>
            <c:strRef>
              <c:f>分类!$R$4</c:f>
              <c:strCache>
                <c:ptCount val="1"/>
                <c:pt idx="0">
                  <c:v>直喷服装打印机</c:v>
                </c:pt>
              </c:strCache>
            </c:strRef>
          </c:tx>
          <c:spPr>
            <a:solidFill>
              <a:srgbClr val="0070C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分类!$S$4:$AD$4</c:f>
              <c:numCache>
                <c:formatCode>0.0%</c:formatCode>
                <c:ptCount val="12"/>
                <c:pt idx="0">
                  <c:v>0.0718204049260867</c:v>
                </c:pt>
                <c:pt idx="1">
                  <c:v>0.074748756169597</c:v>
                </c:pt>
                <c:pt idx="2">
                  <c:v>0.0745817056924154</c:v>
                </c:pt>
                <c:pt idx="3">
                  <c:v>0.0749143421281868</c:v>
                </c:pt>
                <c:pt idx="4">
                  <c:v>0.0795911054110635</c:v>
                </c:pt>
                <c:pt idx="5">
                  <c:v>0.0769018591052022</c:v>
                </c:pt>
                <c:pt idx="6">
                  <c:v>0.0783135723499373</c:v>
                </c:pt>
                <c:pt idx="7">
                  <c:v>0.0759561241885213</c:v>
                </c:pt>
                <c:pt idx="8">
                  <c:v>0.077719626766537</c:v>
                </c:pt>
                <c:pt idx="9">
                  <c:v>0.0787060740051198</c:v>
                </c:pt>
                <c:pt idx="10">
                  <c:v>0.0773526340218148</c:v>
                </c:pt>
                <c:pt idx="11">
                  <c:v>0.0775181152031758</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1423139362265"/>
          <c:y val="0.460488414692375"/>
        </c:manualLayout>
      </c:layout>
      <c:overlay val="0"/>
      <c:spPr>
        <a:noFill/>
        <a:ln>
          <a:noFill/>
        </a:ln>
        <a:effectLst/>
      </c:spPr>
    </c:title>
    <c:autoTitleDeleted val="0"/>
    <c:plotArea>
      <c:layout/>
      <c:doughnutChart>
        <c:varyColors val="1"/>
        <c:ser>
          <c:idx val="0"/>
          <c:order val="0"/>
          <c:tx>
            <c:strRef>
              <c:f>应用!$AF$1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应用!$R$2:$R$3</c:f>
              <c:strCache>
                <c:ptCount val="2"/>
                <c:pt idx="0">
                  <c:v>服装业</c:v>
                </c:pt>
                <c:pt idx="1">
                  <c:v>纺织工业</c:v>
                </c:pt>
              </c:strCache>
            </c:strRef>
          </c:cat>
          <c:val>
            <c:numRef>
              <c:f>应用!$AF$2:$AF$3</c:f>
              <c:numCache>
                <c:formatCode>0.0%</c:formatCode>
                <c:ptCount val="2"/>
                <c:pt idx="0">
                  <c:v>0.584994624771317</c:v>
                </c:pt>
                <c:pt idx="1">
                  <c:v>0.415005375228683</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4315429424685"/>
          <c:y val="0.45631058521213"/>
        </c:manualLayout>
      </c:layout>
      <c:overlay val="0"/>
      <c:spPr>
        <a:noFill/>
        <a:ln>
          <a:noFill/>
        </a:ln>
        <a:effectLst/>
      </c:spPr>
    </c:title>
    <c:autoTitleDeleted val="0"/>
    <c:plotArea>
      <c:layout/>
      <c:doughnutChart>
        <c:varyColors val="1"/>
        <c:ser>
          <c:idx val="0"/>
          <c:order val="0"/>
          <c:tx>
            <c:strRef>
              <c:f>应用!$AG$1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应用!$R$2:$R$3</c:f>
              <c:strCache>
                <c:ptCount val="2"/>
                <c:pt idx="0">
                  <c:v>服装业</c:v>
                </c:pt>
                <c:pt idx="1">
                  <c:v>纺织工业</c:v>
                </c:pt>
              </c:strCache>
            </c:strRef>
          </c:cat>
          <c:val>
            <c:numRef>
              <c:f>应用!$AG$2:$AG$3</c:f>
              <c:numCache>
                <c:formatCode>0.0%</c:formatCode>
                <c:ptCount val="2"/>
                <c:pt idx="0">
                  <c:v>0.559797164104028</c:v>
                </c:pt>
                <c:pt idx="1">
                  <c:v>0.440202835895972</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应用!$A$2</c:f>
              <c:strCache>
                <c:ptCount val="1"/>
                <c:pt idx="0">
                  <c:v>服装业</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#,##0.00_);[Red]\(#,##0.00\)</c:formatCode>
                <c:ptCount val="12"/>
                <c:pt idx="0">
                  <c:v>271.35</c:v>
                </c:pt>
                <c:pt idx="1">
                  <c:v>300.12</c:v>
                </c:pt>
                <c:pt idx="2">
                  <c:v>263.68</c:v>
                </c:pt>
                <c:pt idx="3">
                  <c:v>307.58</c:v>
                </c:pt>
                <c:pt idx="4">
                  <c:v>310.17</c:v>
                </c:pt>
                <c:pt idx="5">
                  <c:v>319.11</c:v>
                </c:pt>
                <c:pt idx="6">
                  <c:v>328.18</c:v>
                </c:pt>
                <c:pt idx="7">
                  <c:v>332.82</c:v>
                </c:pt>
                <c:pt idx="8">
                  <c:v>355.39</c:v>
                </c:pt>
                <c:pt idx="9">
                  <c:v>365.91</c:v>
                </c:pt>
                <c:pt idx="10">
                  <c:v>386.29</c:v>
                </c:pt>
                <c:pt idx="11">
                  <c:v>411.77</c:v>
                </c:pt>
              </c:numCache>
            </c:numRef>
          </c:val>
        </c:ser>
        <c:ser>
          <c:idx val="1"/>
          <c:order val="1"/>
          <c:tx>
            <c:strRef>
              <c:f>应用!$A$3</c:f>
              <c:strCache>
                <c:ptCount val="1"/>
                <c:pt idx="0">
                  <c:v>纺织工业</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#,##0.00_);[Red]\(#,##0.00\)</c:formatCode>
                <c:ptCount val="12"/>
                <c:pt idx="0">
                  <c:v>182.56</c:v>
                </c:pt>
                <c:pt idx="1">
                  <c:v>204.37</c:v>
                </c:pt>
                <c:pt idx="2">
                  <c:v>179.19</c:v>
                </c:pt>
                <c:pt idx="3">
                  <c:v>209.01</c:v>
                </c:pt>
                <c:pt idx="4">
                  <c:v>220.04</c:v>
                </c:pt>
                <c:pt idx="5">
                  <c:v>224.7</c:v>
                </c:pt>
                <c:pt idx="6">
                  <c:v>237.75</c:v>
                </c:pt>
                <c:pt idx="7">
                  <c:v>247.91</c:v>
                </c:pt>
                <c:pt idx="8">
                  <c:v>269.42</c:v>
                </c:pt>
                <c:pt idx="9">
                  <c:v>278.64</c:v>
                </c:pt>
                <c:pt idx="10">
                  <c:v>303.15</c:v>
                </c:pt>
                <c:pt idx="11">
                  <c:v>323.8</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'地区-生产'!$A$2</c:f>
              <c:strCache>
                <c:ptCount val="1"/>
                <c:pt idx="0">
                  <c:v>北美</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#,##0.00_);[Red]\(#,##0.00\)</c:formatCode>
                <c:ptCount val="12"/>
                <c:pt idx="0">
                  <c:v>53.52</c:v>
                </c:pt>
                <c:pt idx="1">
                  <c:v>60.52</c:v>
                </c:pt>
                <c:pt idx="2">
                  <c:v>55.67</c:v>
                </c:pt>
                <c:pt idx="3">
                  <c:v>56.69</c:v>
                </c:pt>
                <c:pt idx="4">
                  <c:v>64.25</c:v>
                </c:pt>
                <c:pt idx="5">
                  <c:v>67.53</c:v>
                </c:pt>
                <c:pt idx="6">
                  <c:v>68.93</c:v>
                </c:pt>
                <c:pt idx="7">
                  <c:v>73.19</c:v>
                </c:pt>
                <c:pt idx="8">
                  <c:v>74.68</c:v>
                </c:pt>
                <c:pt idx="9">
                  <c:v>75.73</c:v>
                </c:pt>
                <c:pt idx="10">
                  <c:v>80.87</c:v>
                </c:pt>
                <c:pt idx="11">
                  <c:v>85.65</c:v>
                </c:pt>
              </c:numCache>
            </c:numRef>
          </c:val>
        </c:ser>
        <c:ser>
          <c:idx val="1"/>
          <c:order val="1"/>
          <c:tx>
            <c:strRef>
              <c:f>'地区-生产'!$A$3</c:f>
              <c:strCache>
                <c:ptCount val="1"/>
                <c:pt idx="0">
                  <c:v>欧洲</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#,##0.00_);[Red]\(#,##0.00\)</c:formatCode>
                <c:ptCount val="12"/>
                <c:pt idx="0">
                  <c:v>132.95</c:v>
                </c:pt>
                <c:pt idx="1">
                  <c:v>153.19</c:v>
                </c:pt>
                <c:pt idx="2">
                  <c:v>134.09</c:v>
                </c:pt>
                <c:pt idx="3">
                  <c:v>140.73</c:v>
                </c:pt>
                <c:pt idx="4">
                  <c:v>158.62</c:v>
                </c:pt>
                <c:pt idx="5">
                  <c:v>161.95</c:v>
                </c:pt>
                <c:pt idx="6">
                  <c:v>169.95</c:v>
                </c:pt>
                <c:pt idx="7">
                  <c:v>173.61</c:v>
                </c:pt>
                <c:pt idx="8">
                  <c:v>182.41</c:v>
                </c:pt>
                <c:pt idx="9">
                  <c:v>185.51</c:v>
                </c:pt>
                <c:pt idx="10">
                  <c:v>197.61</c:v>
                </c:pt>
                <c:pt idx="11">
                  <c:v>212.3</c:v>
                </c:pt>
              </c:numCache>
            </c:numRef>
          </c:val>
        </c:ser>
        <c:ser>
          <c:idx val="2"/>
          <c:order val="2"/>
          <c:tx>
            <c:strRef>
              <c:f>'地区-生产'!$A$4</c:f>
              <c:strCache>
                <c:ptCount val="1"/>
                <c:pt idx="0">
                  <c:v>中国</c:v>
                </c:pt>
              </c:strCache>
            </c:strRef>
          </c:tx>
          <c:spPr>
            <a:solidFill>
              <a:srgbClr val="0070C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#,##0.00_);[Red]\(#,##0.00\)</c:formatCode>
                <c:ptCount val="12"/>
                <c:pt idx="0">
                  <c:v>98.23</c:v>
                </c:pt>
                <c:pt idx="1">
                  <c:v>94.99</c:v>
                </c:pt>
                <c:pt idx="2">
                  <c:v>85.2</c:v>
                </c:pt>
                <c:pt idx="3">
                  <c:v>95.1</c:v>
                </c:pt>
                <c:pt idx="4">
                  <c:v>98.58</c:v>
                </c:pt>
                <c:pt idx="5">
                  <c:v>100.86</c:v>
                </c:pt>
                <c:pt idx="6">
                  <c:v>109.89</c:v>
                </c:pt>
                <c:pt idx="7">
                  <c:v>111.82</c:v>
                </c:pt>
                <c:pt idx="8">
                  <c:v>117.31</c:v>
                </c:pt>
                <c:pt idx="9">
                  <c:v>120.37</c:v>
                </c:pt>
                <c:pt idx="10">
                  <c:v>132.24</c:v>
                </c:pt>
                <c:pt idx="11">
                  <c:v>141.33</c:v>
                </c:pt>
              </c:numCache>
            </c:numRef>
          </c:val>
        </c:ser>
        <c:ser>
          <c:idx val="3"/>
          <c:order val="3"/>
          <c:tx>
            <c:strRef>
              <c:f>'地区-生产'!$A$5</c:f>
              <c:strCache>
                <c:ptCount val="1"/>
                <c:pt idx="0">
                  <c:v>日本</c:v>
                </c:pt>
              </c:strCache>
            </c:strRef>
          </c:tx>
          <c:spPr>
            <a:solidFill>
              <a:srgbClr val="FFC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#,##0.00_);[Red]\(#,##0.00\)</c:formatCode>
                <c:ptCount val="12"/>
                <c:pt idx="0">
                  <c:v>83.66</c:v>
                </c:pt>
                <c:pt idx="1">
                  <c:v>102.36</c:v>
                </c:pt>
                <c:pt idx="2">
                  <c:v>81.35</c:v>
                </c:pt>
                <c:pt idx="3">
                  <c:v>83.72</c:v>
                </c:pt>
                <c:pt idx="4">
                  <c:v>92.49</c:v>
                </c:pt>
                <c:pt idx="5">
                  <c:v>96.12</c:v>
                </c:pt>
                <c:pt idx="6">
                  <c:v>95.98</c:v>
                </c:pt>
                <c:pt idx="7">
                  <c:v>97.96</c:v>
                </c:pt>
                <c:pt idx="8">
                  <c:v>99.76</c:v>
                </c:pt>
                <c:pt idx="9">
                  <c:v>104.74</c:v>
                </c:pt>
                <c:pt idx="10">
                  <c:v>111.52</c:v>
                </c:pt>
                <c:pt idx="11">
                  <c:v>118.97</c:v>
                </c:pt>
              </c:numCache>
            </c:numRef>
          </c:val>
        </c:ser>
        <c:ser>
          <c:idx val="4"/>
          <c:order val="4"/>
          <c:tx>
            <c:strRef>
              <c:f>'地区-生产'!$A$6</c:f>
              <c:strCache>
                <c:ptCount val="1"/>
                <c:pt idx="0">
                  <c:v>其他地区</c:v>
                </c:pt>
              </c:strCache>
            </c:strRef>
          </c:tx>
          <c:spPr>
            <a:solidFill>
              <a:schemeClr val="tx1">
                <a:lumMod val="65000"/>
                <a:lumOff val="3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'地区-生产'!$B$6:$M$6</c:f>
              <c:numCache>
                <c:formatCode>#,##0.00_);[Red]\(#,##0.00\)</c:formatCode>
                <c:ptCount val="12"/>
                <c:pt idx="0">
                  <c:v>85.55</c:v>
                </c:pt>
                <c:pt idx="1">
                  <c:v>93.43</c:v>
                </c:pt>
                <c:pt idx="2">
                  <c:v>86.56</c:v>
                </c:pt>
                <c:pt idx="3">
                  <c:v>140.35</c:v>
                </c:pt>
                <c:pt idx="4">
                  <c:v>116.27</c:v>
                </c:pt>
                <c:pt idx="5">
                  <c:v>117.35</c:v>
                </c:pt>
                <c:pt idx="6">
                  <c:v>121.18</c:v>
                </c:pt>
                <c:pt idx="7">
                  <c:v>124.15</c:v>
                </c:pt>
                <c:pt idx="8">
                  <c:v>150.65</c:v>
                </c:pt>
                <c:pt idx="9">
                  <c:v>158.2</c:v>
                </c:pt>
                <c:pt idx="10">
                  <c:v>167.2</c:v>
                </c:pt>
                <c:pt idx="11">
                  <c:v>177.32</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200">
                <a:latin typeface="Book Antiqua" panose="02040602050305030304" pitchFamily="1" charset="0"/>
              </a:rPr>
              <a:t>市场规模按生产地区</a:t>
            </a:r>
            <a:r>
              <a:rPr lang="en-US" altLang="zh-CN" sz="1200">
                <a:latin typeface="Book Antiqua" panose="02040602050305030304" pitchFamily="1" charset="0"/>
              </a:rPr>
              <a:t>,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'地区-生产'!$AE$1</c:f>
              <c:strCache>
                <c:ptCount val="1"/>
                <c:pt idx="0">
                  <c:v>2018</c:v>
                </c:pt>
              </c:strCache>
            </c:strRef>
          </c:tx>
          <c:spPr>
            <a:solidFill>
              <a:srgbClr val="FFC000"/>
            </a:solidFill>
            <a:ln>
              <a:noFill/>
            </a:ln>
            <a:effectLst/>
          </c:spPr>
          <c:invertIfNegative val="0"/>
          <c:dLbls>
            <c:delete val="1"/>
          </c:dLbls>
          <c:cat>
            <c:strRef>
              <c:f>'地区-生产'!$AD$2:$AD$6</c:f>
              <c:strCache>
                <c:ptCount val="5"/>
                <c:pt idx="0">
                  <c:v>北美</c:v>
                </c:pt>
                <c:pt idx="1">
                  <c:v>欧洲</c:v>
                </c:pt>
                <c:pt idx="2">
                  <c:v>中国</c:v>
                </c:pt>
                <c:pt idx="3">
                  <c:v>日本</c:v>
                </c:pt>
                <c:pt idx="4">
                  <c:v>其他地区</c:v>
                </c:pt>
              </c:strCache>
            </c:strRef>
          </c:cat>
          <c:val>
            <c:numRef>
              <c:f>'地区-生产'!$AE$2:$AE$6</c:f>
              <c:numCache>
                <c:formatCode>#,##0_);[Red]\(#,##0\)</c:formatCode>
                <c:ptCount val="5"/>
                <c:pt idx="0">
                  <c:v>53.52</c:v>
                </c:pt>
                <c:pt idx="1">
                  <c:v>132.95</c:v>
                </c:pt>
                <c:pt idx="2">
                  <c:v>98.23</c:v>
                </c:pt>
                <c:pt idx="3">
                  <c:v>83.66</c:v>
                </c:pt>
                <c:pt idx="4">
                  <c:v>85.55</c:v>
                </c:pt>
              </c:numCache>
            </c:numRef>
          </c:val>
        </c:ser>
        <c:ser>
          <c:idx val="1"/>
          <c:order val="1"/>
          <c:tx>
            <c:strRef>
              <c:f>'地区-生产'!$AF$1</c:f>
              <c:strCache>
                <c:ptCount val="1"/>
                <c:pt idx="0">
                  <c:v>2022</c:v>
                </c:pt>
              </c:strCache>
            </c:strRef>
          </c:tx>
          <c:spPr>
            <a:solidFill>
              <a:schemeClr val="bg1">
                <a:lumMod val="50000"/>
              </a:schemeClr>
            </a:solidFill>
            <a:ln>
              <a:noFill/>
            </a:ln>
            <a:effectLst/>
          </c:spPr>
          <c:invertIfNegative val="0"/>
          <c:dLbls>
            <c:delete val="1"/>
          </c:dLbls>
          <c:cat>
            <c:strRef>
              <c:f>'地区-生产'!$AD$2:$AD$6</c:f>
              <c:strCache>
                <c:ptCount val="5"/>
                <c:pt idx="0">
                  <c:v>北美</c:v>
                </c:pt>
                <c:pt idx="1">
                  <c:v>欧洲</c:v>
                </c:pt>
                <c:pt idx="2">
                  <c:v>中国</c:v>
                </c:pt>
                <c:pt idx="3">
                  <c:v>日本</c:v>
                </c:pt>
                <c:pt idx="4">
                  <c:v>其他地区</c:v>
                </c:pt>
              </c:strCache>
            </c:strRef>
          </c:cat>
          <c:val>
            <c:numRef>
              <c:f>'地区-生产'!$AF$2:$AF$6</c:f>
              <c:numCache>
                <c:formatCode>#,##0_);[Red]\(#,##0\)</c:formatCode>
                <c:ptCount val="5"/>
                <c:pt idx="0">
                  <c:v>64.25</c:v>
                </c:pt>
                <c:pt idx="1">
                  <c:v>158.62</c:v>
                </c:pt>
                <c:pt idx="2">
                  <c:v>98.58</c:v>
                </c:pt>
                <c:pt idx="3">
                  <c:v>92.49</c:v>
                </c:pt>
                <c:pt idx="4">
                  <c:v>116.27</c:v>
                </c:pt>
              </c:numCache>
            </c:numRef>
          </c:val>
        </c:ser>
        <c:ser>
          <c:idx val="2"/>
          <c:order val="2"/>
          <c:tx>
            <c:strRef>
              <c:f>'地区-生产'!$AG$1</c:f>
              <c:strCache>
                <c:ptCount val="1"/>
                <c:pt idx="0">
                  <c:v>2029</c:v>
                </c:pt>
              </c:strCache>
            </c:strRef>
          </c:tx>
          <c:spPr>
            <a:solidFill>
              <a:srgbClr val="002060"/>
            </a:solidFill>
            <a:ln>
              <a:noFill/>
            </a:ln>
            <a:effectLst/>
          </c:spPr>
          <c:invertIfNegative val="0"/>
          <c:dLbls>
            <c:delete val="1"/>
          </c:dLbls>
          <c:cat>
            <c:strRef>
              <c:f>'地区-生产'!$AD$2:$AD$6</c:f>
              <c:strCache>
                <c:ptCount val="5"/>
                <c:pt idx="0">
                  <c:v>北美</c:v>
                </c:pt>
                <c:pt idx="1">
                  <c:v>欧洲</c:v>
                </c:pt>
                <c:pt idx="2">
                  <c:v>中国</c:v>
                </c:pt>
                <c:pt idx="3">
                  <c:v>日本</c:v>
                </c:pt>
                <c:pt idx="4">
                  <c:v>其他地区</c:v>
                </c:pt>
              </c:strCache>
            </c:strRef>
          </c:cat>
          <c:val>
            <c:numRef>
              <c:f>'地区-生产'!$AG$2:$AG$6</c:f>
              <c:numCache>
                <c:formatCode>#,##0_);[Red]\(#,##0\)</c:formatCode>
                <c:ptCount val="5"/>
                <c:pt idx="0">
                  <c:v>85.65</c:v>
                </c:pt>
                <c:pt idx="1">
                  <c:v>212.3</c:v>
                </c:pt>
                <c:pt idx="2">
                  <c:v>141.33</c:v>
                </c:pt>
                <c:pt idx="3">
                  <c:v>118.97</c:v>
                </c:pt>
                <c:pt idx="4">
                  <c:v>177.32</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'地区-消费'!$B$2:$M$2</c:f>
              <c:numCache>
                <c:formatCode>#,##0.00_);[Red]\(#,##0.00\)</c:formatCode>
                <c:ptCount val="12"/>
                <c:pt idx="0">
                  <c:v>77.21</c:v>
                </c:pt>
                <c:pt idx="1">
                  <c:v>85.75</c:v>
                </c:pt>
                <c:pt idx="2">
                  <c:v>81.01</c:v>
                </c:pt>
                <c:pt idx="3">
                  <c:v>93.19</c:v>
                </c:pt>
                <c:pt idx="4">
                  <c:v>97.07</c:v>
                </c:pt>
                <c:pt idx="5">
                  <c:v>94.49</c:v>
                </c:pt>
                <c:pt idx="6">
                  <c:v>92.3</c:v>
                </c:pt>
                <c:pt idx="7">
                  <c:v>96.4</c:v>
                </c:pt>
                <c:pt idx="8">
                  <c:v>111.22</c:v>
                </c:pt>
                <c:pt idx="9">
                  <c:v>110.73</c:v>
                </c:pt>
                <c:pt idx="10">
                  <c:v>123.84</c:v>
                </c:pt>
                <c:pt idx="11">
                  <c:v>127.83</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'地区-消费'!$B$3:$M$3</c:f>
              <c:numCache>
                <c:formatCode>#,##0.00_);[Red]\(#,##0.00\)</c:formatCode>
                <c:ptCount val="12"/>
                <c:pt idx="0">
                  <c:v>190.15</c:v>
                </c:pt>
                <c:pt idx="1">
                  <c:v>209.47</c:v>
                </c:pt>
                <c:pt idx="2">
                  <c:v>183.45</c:v>
                </c:pt>
                <c:pt idx="3">
                  <c:v>209.71</c:v>
                </c:pt>
                <c:pt idx="4">
                  <c:v>215.93</c:v>
                </c:pt>
                <c:pt idx="5">
                  <c:v>219.62</c:v>
                </c:pt>
                <c:pt idx="6">
                  <c:v>230.57</c:v>
                </c:pt>
                <c:pt idx="7">
                  <c:v>236.15</c:v>
                </c:pt>
                <c:pt idx="8">
                  <c:v>249.87</c:v>
                </c:pt>
                <c:pt idx="9">
                  <c:v>256.42</c:v>
                </c:pt>
                <c:pt idx="10">
                  <c:v>273</c:v>
                </c:pt>
                <c:pt idx="11">
                  <c:v>293.07</c:v>
                </c:pt>
              </c:numCache>
            </c:numRef>
          </c:val>
        </c:ser>
        <c:ser>
          <c:idx val="2"/>
          <c:order val="2"/>
          <c:tx>
            <c:strRef>
              <c:f>'地区-消费'!$A$4</c:f>
              <c:strCache>
                <c:ptCount val="1"/>
                <c:pt idx="0">
                  <c:v>亚太</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'地区-消费'!$B$4:$M$4</c:f>
              <c:numCache>
                <c:formatCode>#,##0.00_);[Red]\(#,##0.00\)</c:formatCode>
                <c:ptCount val="12"/>
                <c:pt idx="0">
                  <c:v>161.32</c:v>
                </c:pt>
                <c:pt idx="1">
                  <c:v>181.75</c:v>
                </c:pt>
                <c:pt idx="2">
                  <c:v>155.06</c:v>
                </c:pt>
                <c:pt idx="3">
                  <c:v>186.12</c:v>
                </c:pt>
                <c:pt idx="4">
                  <c:v>188.71</c:v>
                </c:pt>
                <c:pt idx="5">
                  <c:v>201.96</c:v>
                </c:pt>
                <c:pt idx="6">
                  <c:v>214.11</c:v>
                </c:pt>
                <c:pt idx="7">
                  <c:v>219.03</c:v>
                </c:pt>
                <c:pt idx="8">
                  <c:v>232.84</c:v>
                </c:pt>
                <c:pt idx="9">
                  <c:v>245.83</c:v>
                </c:pt>
                <c:pt idx="10">
                  <c:v>260.38</c:v>
                </c:pt>
                <c:pt idx="11">
                  <c:v>280.68</c:v>
                </c:pt>
              </c:numCache>
            </c:numRef>
          </c:val>
        </c:ser>
        <c:ser>
          <c:idx val="3"/>
          <c:order val="3"/>
          <c:tx>
            <c:strRef>
              <c:f>'地区-消费'!$A$5</c:f>
              <c:strCache>
                <c:ptCount val="1"/>
                <c:pt idx="0">
                  <c:v>拉美</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'地区-消费'!$B$5:$M$5</c:f>
              <c:numCache>
                <c:formatCode>#,##0.00_);[Red]\(#,##0.00\)</c:formatCode>
                <c:ptCount val="12"/>
                <c:pt idx="0">
                  <c:v>16.52</c:v>
                </c:pt>
                <c:pt idx="1">
                  <c:v>17.9</c:v>
                </c:pt>
                <c:pt idx="2">
                  <c:v>15.31</c:v>
                </c:pt>
                <c:pt idx="3">
                  <c:v>18.21</c:v>
                </c:pt>
                <c:pt idx="4">
                  <c:v>18.82</c:v>
                </c:pt>
                <c:pt idx="5">
                  <c:v>18.29</c:v>
                </c:pt>
                <c:pt idx="6">
                  <c:v>19.13</c:v>
                </c:pt>
                <c:pt idx="7">
                  <c:v>18.88</c:v>
                </c:pt>
                <c:pt idx="8">
                  <c:v>20.45</c:v>
                </c:pt>
                <c:pt idx="9">
                  <c:v>20.49</c:v>
                </c:pt>
                <c:pt idx="10">
                  <c:v>20.73</c:v>
                </c:pt>
                <c:pt idx="11">
                  <c:v>22.27</c:v>
                </c:pt>
              </c:numCache>
            </c:numRef>
          </c:val>
        </c:ser>
        <c:ser>
          <c:idx val="4"/>
          <c:order val="4"/>
          <c:tx>
            <c:strRef>
              <c:f>'地区-消费'!$A$6</c:f>
              <c:strCache>
                <c:ptCount val="1"/>
                <c:pt idx="0">
                  <c:v>中东和非洲</c:v>
                </c:pt>
              </c:strCache>
            </c:strRef>
          </c:tx>
          <c:spPr>
            <a:solidFill>
              <a:schemeClr val="accent1">
                <a:lumMod val="7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'地区-消费'!$B$6:$M$6</c:f>
              <c:numCache>
                <c:formatCode>#,##0.00_);[Red]\(#,##0.00\)</c:formatCode>
                <c:ptCount val="12"/>
                <c:pt idx="0">
                  <c:v>8.71</c:v>
                </c:pt>
                <c:pt idx="1">
                  <c:v>9.62</c:v>
                </c:pt>
                <c:pt idx="2">
                  <c:v>8.04</c:v>
                </c:pt>
                <c:pt idx="3">
                  <c:v>9.36</c:v>
                </c:pt>
                <c:pt idx="4">
                  <c:v>9.68</c:v>
                </c:pt>
                <c:pt idx="5">
                  <c:v>9.45</c:v>
                </c:pt>
                <c:pt idx="6">
                  <c:v>9.82</c:v>
                </c:pt>
                <c:pt idx="7">
                  <c:v>10.27</c:v>
                </c:pt>
                <c:pt idx="8">
                  <c:v>10.43</c:v>
                </c:pt>
                <c:pt idx="9">
                  <c:v>11.08</c:v>
                </c:pt>
                <c:pt idx="10">
                  <c:v>11.49</c:v>
                </c:pt>
                <c:pt idx="11">
                  <c:v>11.72</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1"/>
        <c:axPos val="l"/>
        <c:majorGridlines>
          <c:spPr>
            <a:ln w="9525" cap="flat" cmpd="sng" algn="ctr">
              <a:noFill/>
              <a:round/>
            </a:ln>
            <a:effectLst/>
          </c:spPr>
        </c:majorGridlines>
        <c:numFmt formatCode="#,##0_);[Red]\(#,##0\)" sourceLinked="0"/>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200">
                <a:latin typeface="Book Antiqua" panose="02040602050305030304" pitchFamily="1" charset="0"/>
              </a:rPr>
              <a:t>按消费地区</a:t>
            </a:r>
            <a:r>
              <a:rPr lang="en-US" altLang="zh-CN" sz="1200">
                <a:latin typeface="Book Antiqua" panose="02040602050305030304" pitchFamily="1" charset="0"/>
              </a:rPr>
              <a:t>,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2018</c:v>
                </c:pt>
              </c:strCache>
            </c:strRef>
          </c:tx>
          <c:spPr>
            <a:solidFill>
              <a:srgbClr val="FFC000"/>
            </a:solidFill>
            <a:ln>
              <a:noFill/>
            </a:ln>
            <a:effectLst/>
          </c:spPr>
          <c:invertIfNegative val="0"/>
          <c:dLbls>
            <c:delete val="1"/>
          </c:dLbls>
          <c:cat>
            <c:strRef>
              <c:f>'地区-消费'!$AD$2:$AD$6</c:f>
              <c:strCache>
                <c:ptCount val="5"/>
                <c:pt idx="0">
                  <c:v>北美</c:v>
                </c:pt>
                <c:pt idx="1">
                  <c:v>欧洲</c:v>
                </c:pt>
                <c:pt idx="2">
                  <c:v>亚太</c:v>
                </c:pt>
                <c:pt idx="3">
                  <c:v>拉美</c:v>
                </c:pt>
                <c:pt idx="4">
                  <c:v>中东和非洲</c:v>
                </c:pt>
              </c:strCache>
            </c:strRef>
          </c:cat>
          <c:val>
            <c:numRef>
              <c:f>'地区-消费'!$AE$2:$AE$6</c:f>
              <c:numCache>
                <c:formatCode>#,##0_);[Red]\(#,##0\)</c:formatCode>
                <c:ptCount val="5"/>
                <c:pt idx="0">
                  <c:v>77.21</c:v>
                </c:pt>
                <c:pt idx="1">
                  <c:v>190.15</c:v>
                </c:pt>
                <c:pt idx="2">
                  <c:v>161.32</c:v>
                </c:pt>
                <c:pt idx="3">
                  <c:v>16.52</c:v>
                </c:pt>
                <c:pt idx="4">
                  <c:v>8.71</c:v>
                </c:pt>
              </c:numCache>
            </c:numRef>
          </c:val>
        </c:ser>
        <c:ser>
          <c:idx val="1"/>
          <c:order val="1"/>
          <c:tx>
            <c:strRef>
              <c:f>'地区-消费'!$AF$1</c:f>
              <c:strCache>
                <c:ptCount val="1"/>
                <c:pt idx="0">
                  <c:v>2022</c:v>
                </c:pt>
              </c:strCache>
            </c:strRef>
          </c:tx>
          <c:spPr>
            <a:solidFill>
              <a:schemeClr val="bg1">
                <a:lumMod val="50000"/>
              </a:schemeClr>
            </a:solidFill>
            <a:ln>
              <a:noFill/>
            </a:ln>
            <a:effectLst/>
          </c:spPr>
          <c:invertIfNegative val="0"/>
          <c:dLbls>
            <c:delete val="1"/>
          </c:dLbls>
          <c:cat>
            <c:strRef>
              <c:f>'地区-消费'!$AD$2:$AD$6</c:f>
              <c:strCache>
                <c:ptCount val="5"/>
                <c:pt idx="0">
                  <c:v>北美</c:v>
                </c:pt>
                <c:pt idx="1">
                  <c:v>欧洲</c:v>
                </c:pt>
                <c:pt idx="2">
                  <c:v>亚太</c:v>
                </c:pt>
                <c:pt idx="3">
                  <c:v>拉美</c:v>
                </c:pt>
                <c:pt idx="4">
                  <c:v>中东和非洲</c:v>
                </c:pt>
              </c:strCache>
            </c:strRef>
          </c:cat>
          <c:val>
            <c:numRef>
              <c:f>'地区-消费'!$AF$2:$AF$6</c:f>
              <c:numCache>
                <c:formatCode>#,##0.00_);[Red]\(#,##0.00\)</c:formatCode>
                <c:ptCount val="5"/>
                <c:pt idx="0">
                  <c:v>97.07</c:v>
                </c:pt>
                <c:pt idx="1">
                  <c:v>215.93</c:v>
                </c:pt>
                <c:pt idx="2">
                  <c:v>188.71</c:v>
                </c:pt>
                <c:pt idx="3">
                  <c:v>18.82</c:v>
                </c:pt>
                <c:pt idx="4">
                  <c:v>9.68</c:v>
                </c:pt>
              </c:numCache>
            </c:numRef>
          </c:val>
        </c:ser>
        <c:ser>
          <c:idx val="2"/>
          <c:order val="2"/>
          <c:tx>
            <c:strRef>
              <c:f>'地区-消费'!$AG$1</c:f>
              <c:strCache>
                <c:ptCount val="1"/>
                <c:pt idx="0">
                  <c:v>2029</c:v>
                </c:pt>
              </c:strCache>
            </c:strRef>
          </c:tx>
          <c:spPr>
            <a:solidFill>
              <a:srgbClr val="002060"/>
            </a:solidFill>
            <a:ln>
              <a:noFill/>
            </a:ln>
            <a:effectLst/>
          </c:spPr>
          <c:invertIfNegative val="0"/>
          <c:dLbls>
            <c:delete val="1"/>
          </c:dLbls>
          <c:cat>
            <c:strRef>
              <c:f>'地区-消费'!$AD$2:$AD$6</c:f>
              <c:strCache>
                <c:ptCount val="5"/>
                <c:pt idx="0">
                  <c:v>北美</c:v>
                </c:pt>
                <c:pt idx="1">
                  <c:v>欧洲</c:v>
                </c:pt>
                <c:pt idx="2">
                  <c:v>亚太</c:v>
                </c:pt>
                <c:pt idx="3">
                  <c:v>拉美</c:v>
                </c:pt>
                <c:pt idx="4">
                  <c:v>中东和非洲</c:v>
                </c:pt>
              </c:strCache>
            </c:strRef>
          </c:cat>
          <c:val>
            <c:numRef>
              <c:f>'地区-消费'!$AG$2:$AG$6</c:f>
              <c:numCache>
                <c:formatCode>#,##0.00_);[Red]\(#,##0.00\)</c:formatCode>
                <c:ptCount val="5"/>
                <c:pt idx="0">
                  <c:v>127.83</c:v>
                </c:pt>
                <c:pt idx="1">
                  <c:v>293.07</c:v>
                </c:pt>
                <c:pt idx="2">
                  <c:v>280.68</c:v>
                </c:pt>
                <c:pt idx="3">
                  <c:v>22.27</c:v>
                </c:pt>
                <c:pt idx="4">
                  <c:v>11.72</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0.57119</cdr:x>
      <cdr:y>0.18374</cdr:y>
    </cdr:from>
    <cdr:to>
      <cdr:x>0.73105</cdr:x>
      <cdr:y>0.5271</cdr:y>
    </cdr:to>
    <cdr:grpSp>
      <cdr:nvGrpSpPr>
        <cdr:cNvPr id="2" name="组合 1"/>
        <cdr:cNvGrpSpPr/>
      </cdr:nvGrpSpPr>
      <cdr:grpSpPr xmlns:a="http://schemas.openxmlformats.org/drawingml/2006/main">
        <a:xfrm rot="1817245">
          <a:off x="3534929" y="539621"/>
          <a:ext cx="989327" cy="1008405"/>
          <a:chOff x="2787819" y="931946"/>
          <a:chExt cx="759437" cy="821673"/>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787819" y="931946"/>
            <a:ext cx="759437" cy="821673"/>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427632">
            <a:off x="2875829" y="1279689"/>
            <a:ext cx="564971" cy="169895"/>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5.2%</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0.23665</cdr:x>
      <cdr:y>0.43476</cdr:y>
    </cdr:from>
    <cdr:to>
      <cdr:x>0.44201</cdr:x>
      <cdr:y>0.6949</cdr:y>
    </cdr:to>
    <cdr:grpSp>
      <cdr:nvGrpSpPr>
        <cdr:cNvPr id="5" name="组合 4"/>
        <cdr:cNvGrpSpPr/>
      </cdr:nvGrpSpPr>
      <cdr:grpSpPr xmlns:a="http://schemas.openxmlformats.org/drawingml/2006/main">
        <a:xfrm rot="1783323">
          <a:off x="1464558" y="1276836"/>
          <a:ext cx="1270913" cy="763999"/>
          <a:chOff x="2970489" y="1602418"/>
          <a:chExt cx="1010935" cy="772887"/>
        </a:xfrm>
      </cdr:grpSpPr>
      <cdr:cxnSp>
        <cdr:nvCxnSpPr>
          <cdr:cNvPr id="6" name="直接箭头连接符 5"/>
          <cdr:cNvCxnSpPr/>
        </cdr:nvCxnSpPr>
        <cdr:spPr xmlns:a="http://schemas.openxmlformats.org/drawingml/2006/main">
          <a:xfrm xmlns:a="http://schemas.openxmlformats.org/drawingml/2006/main" rot="19816677" flipV="1">
            <a:off x="2970489" y="1746903"/>
            <a:ext cx="1010935" cy="46480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584799">
            <a:off x="3080278" y="1903079"/>
            <a:ext cx="772887" cy="17156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4.0%</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171A11-E7CB-43F4-88D3-A31418097198}">
  <ds:schemaRefs/>
</ds:datastoreItem>
</file>

<file path=docProps/app.xml><?xml version="1.0" encoding="utf-8"?>
<Properties xmlns="http://schemas.openxmlformats.org/officeDocument/2006/extended-properties" xmlns:vt="http://schemas.openxmlformats.org/officeDocument/2006/docPropsVTypes">
  <Template>Normal</Template>
  <Pages>11</Pages>
  <Words>346</Words>
  <Characters>1977</Characters>
  <Lines>16</Lines>
  <Paragraphs>4</Paragraphs>
  <TotalTime>658</TotalTime>
  <ScaleCrop>false</ScaleCrop>
  <LinksUpToDate>false</LinksUpToDate>
  <CharactersWithSpaces>2319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2023-11-14T07:04:27Z</dcterms:modified>
  <cp:revision>799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07B31A89002147B28D8568730B63472F_13</vt:lpwstr>
  </property>
</Properties>
</file>