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14F863">
      <w:pPr>
        <w:pStyle w:val="167"/>
        <w:rPr>
          <w:lang w:eastAsia="zh-CN"/>
        </w:rPr>
      </w:pPr>
      <w:bookmarkStart w:id="0" w:name="_Toc481801204"/>
      <w:bookmarkStart w:id="1" w:name="_Toc418070112"/>
      <w:bookmarkStart w:id="2" w:name="_Toc415143481"/>
      <w:bookmarkStart w:id="3" w:name="OLE_LINK39"/>
      <w:bookmarkStart w:id="4" w:name="OLE_LINK40"/>
      <w:bookmarkStart w:id="5" w:name="_Toc415818939"/>
      <w:bookmarkStart w:id="6" w:name="_Toc517262917"/>
      <w:bookmarkStart w:id="7" w:name="_Toc453597319"/>
      <w:bookmarkStart w:id="8" w:name="_Toc438987549"/>
      <w:bookmarkStart w:id="9" w:name="OLE_LINK24"/>
      <w:bookmarkStart w:id="10" w:name="OLE_LINK13"/>
      <w:bookmarkStart w:id="11" w:name="_Toc415142861"/>
      <w:bookmarkStart w:id="12" w:name="OLE_LINK15"/>
      <w:r>
        <w:rPr>
          <w:rFonts w:hint="eastAsia"/>
          <w:lang w:eastAsia="zh-CN"/>
        </w:rPr>
        <w:t>PCB卡边缘连接器全球市场总体规模</w:t>
      </w:r>
    </w:p>
    <w:p w14:paraId="7B89CDF2">
      <w:pPr>
        <w:pStyle w:val="145"/>
        <w:spacing w:line="480" w:lineRule="auto"/>
        <w:rPr>
          <w:lang w:val="en-US" w:eastAsia="zh-CN"/>
        </w:rPr>
      </w:pPr>
      <w:r>
        <w:rPr>
          <w:rFonts w:hint="eastAsia"/>
          <w:lang w:val="en-US" w:eastAsia="zh-CN"/>
        </w:rPr>
        <w:t>PCB卡边缘连接器是一种电连接器，设计用于直接与印刷电路板 (PCB) 的边缘连接。PCB边缘的导电线路裸露在外，并经过镀层处理，通常采用金或其他导电材料，以确保可靠的信号和电力传输。该连接器包含弹簧触点，可压在电路板边缘的镀层焊盘上，从而形成牢固且易于拆卸的电气连接。这种设计无需在PCB上安装额外的配接元件，使其成为一种经济高效、节省空间的互连解决方案。PCB卡边缘连接器广泛应用于需要模块化、灵活性和频繁组装或更换的应用，例如计算机主板、显卡和扩展卡、存储设备、电信设备、工业自动化系统和消费电子产品。</w:t>
      </w:r>
    </w:p>
    <w:p w14:paraId="70AEB0FA">
      <w:pPr>
        <w:pStyle w:val="145"/>
        <w:rPr>
          <w:rFonts w:hint="eastAsia" w:ascii="宋体" w:hAnsi="宋体" w:cs="宋体"/>
          <w:sz w:val="24"/>
          <w:szCs w:val="24"/>
          <w:lang w:val="en-US" w:eastAsia="zh-CN"/>
        </w:rPr>
      </w:pPr>
      <w:r>
        <w:drawing>
          <wp:inline distT="0" distB="0" distL="0" distR="0">
            <wp:extent cx="3609340" cy="2534285"/>
            <wp:effectExtent l="0" t="0" r="0" b="0"/>
            <wp:docPr id="15909250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925076" name="图片 1"/>
                    <pic:cNvPicPr>
                      <a:picLocks noChangeAspect="1"/>
                    </pic:cNvPicPr>
                  </pic:nvPicPr>
                  <pic:blipFill>
                    <a:blip r:embed="rId9"/>
                    <a:stretch>
                      <a:fillRect/>
                    </a:stretch>
                  </pic:blipFill>
                  <pic:spPr>
                    <a:xfrm>
                      <a:off x="0" y="0"/>
                      <a:ext cx="3618442" cy="2540609"/>
                    </a:xfrm>
                    <a:prstGeom prst="rect">
                      <a:avLst/>
                    </a:prstGeom>
                  </pic:spPr>
                </pic:pic>
              </a:graphicData>
            </a:graphic>
          </wp:inline>
        </w:drawing>
      </w:r>
    </w:p>
    <w:p w14:paraId="2D0EE62D">
      <w:pPr>
        <w:pStyle w:val="145"/>
        <w:spacing w:line="480" w:lineRule="auto"/>
        <w:rPr>
          <w:lang w:val="en-US" w:eastAsia="zh-CN"/>
        </w:rPr>
      </w:pPr>
      <w:r>
        <w:rPr>
          <w:rFonts w:hint="eastAsia"/>
          <w:lang w:val="en-US" w:eastAsia="zh-CN"/>
        </w:rPr>
        <w:t>据QYResearch调研团队最新报告“全球PCB卡边缘连接器市场报告2025-2031”显示，预计2031年全球PCB卡边缘连接器市场规模将达到12.3亿美元，未来几年年复合增长率CAGR为6.12%。</w:t>
      </w:r>
    </w:p>
    <w:p w14:paraId="2FA11661">
      <w:pPr>
        <w:pStyle w:val="145"/>
        <w:spacing w:line="480" w:lineRule="auto"/>
        <w:rPr>
          <w:lang w:val="en-US" w:eastAsia="zh-CN"/>
        </w:rPr>
      </w:pPr>
      <w:r>
        <w:rPr>
          <w:rFonts w:hint="eastAsia"/>
          <w:lang w:val="en-US" w:eastAsia="zh-CN"/>
        </w:rPr>
        <w:t>2024年全球PCB卡边缘连接器产量将达6.76亿个，平均售价为1.2美元/个，单线产能约550万个/年，毛利率约为25%。</w:t>
      </w:r>
    </w:p>
    <w:p w14:paraId="51E44C65">
      <w:pPr>
        <w:pStyle w:val="145"/>
        <w:spacing w:line="480" w:lineRule="auto"/>
        <w:rPr>
          <w:lang w:val="en-US" w:eastAsia="zh-CN"/>
        </w:rPr>
      </w:pPr>
    </w:p>
    <w:p w14:paraId="3E53B1A2">
      <w:pPr>
        <w:pStyle w:val="148"/>
        <w:rPr>
          <w:lang w:eastAsia="zh-CN"/>
        </w:rPr>
      </w:pPr>
      <w:r>
        <w:rPr>
          <w:rFonts w:hint="eastAsia"/>
          <w:lang w:eastAsia="zh-CN"/>
        </w:rPr>
        <w:t>PCB卡边缘连接器全球市场总体规模（2020-2031）</w:t>
      </w:r>
    </w:p>
    <w:p w14:paraId="386FD4DA">
      <w:pPr>
        <w:pStyle w:val="145"/>
        <w:rPr>
          <w:rFonts w:hint="eastAsia"/>
          <w:lang w:eastAsia="zh-CN"/>
        </w:rPr>
      </w:pPr>
      <w:r>
        <w:drawing>
          <wp:inline distT="0" distB="0" distL="0" distR="0">
            <wp:extent cx="6407150" cy="3060700"/>
            <wp:effectExtent l="0" t="0" r="0" b="6350"/>
            <wp:docPr id="21083735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373514"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407150" cy="3060700"/>
                    </a:xfrm>
                    <a:prstGeom prst="rect">
                      <a:avLst/>
                    </a:prstGeom>
                    <a:noFill/>
                  </pic:spPr>
                </pic:pic>
              </a:graphicData>
            </a:graphic>
          </wp:inline>
        </w:drawing>
      </w:r>
      <w:r>
        <w:rPr>
          <w:rFonts w:hint="eastAsia"/>
        </w:rPr>
        <w:t>如上图表/数据，摘自QYResearch最新报告“全球PCB卡边缘连接器市场研究报告2025-2031”</w:t>
      </w:r>
      <w:r>
        <w:t>.</w:t>
      </w:r>
    </w:p>
    <w:p w14:paraId="45F7C357">
      <w:pPr>
        <w:pStyle w:val="143"/>
        <w:rPr>
          <w:rFonts w:hint="eastAsia"/>
          <w:i w:val="0"/>
          <w:sz w:val="21"/>
          <w:lang w:val="en-US" w:eastAsia="zh-CN"/>
        </w:rPr>
      </w:pPr>
      <w:r>
        <w:rPr>
          <w:rFonts w:hint="eastAsia"/>
          <w:i w:val="0"/>
          <w:sz w:val="21"/>
          <w:lang w:val="en-US" w:eastAsia="zh-CN"/>
        </w:rPr>
        <w:t>PCB卡边缘连接器是电子元器件行业中至关重要的细分领域，与消费电子、汽车（尤其是电动汽车）、5G 通信和工业物联网等终端应用领域的发展密切相关。该市场受益于设备小型化、高速/高密度连接需求的不断增长以及智能技术的扩展所驱动的稳定需求，但也面临着诸多制约因素，包括原材料成本波动（例如铜、工程塑料）、激烈的竞争导致同质化，以及复杂的全球技术标准（例如 IEC 61076）提高了进入门槛。从区域来看，亚太地区占据主导地位，是核心生产和消费中心，其中中国、日本和韩国处于领先地位；北美和欧洲紧随其后，专注于汽车和工业应用的高性能专用连接器。</w:t>
      </w:r>
    </w:p>
    <w:p w14:paraId="45EE6A2F">
      <w:pPr>
        <w:pStyle w:val="148"/>
        <w:numPr>
          <w:ilvl w:val="0"/>
          <w:numId w:val="0"/>
        </w:numPr>
        <w:rPr>
          <w:lang w:eastAsia="zh-CN"/>
        </w:rPr>
      </w:pPr>
      <w:r>
        <w:rPr>
          <w:rFonts w:hint="eastAsia"/>
          <w:lang w:eastAsia="zh-CN"/>
        </w:rPr>
        <w:t>全球PCB卡边缘连接器市场前5强生产商排名及市场占有率（基于2</w:t>
      </w:r>
      <w:r>
        <w:rPr>
          <w:lang w:eastAsia="zh-CN"/>
        </w:rPr>
        <w:t>02</w:t>
      </w:r>
      <w:r>
        <w:rPr>
          <w:rFonts w:hint="eastAsia"/>
          <w:lang w:eastAsia="zh-CN"/>
        </w:rPr>
        <w:t>4年调研数据；目前最新数据以本公司最新调研数据为准）</w:t>
      </w:r>
    </w:p>
    <w:p w14:paraId="79644D3A">
      <w:pPr>
        <w:widowControl/>
        <w:topLinePunct w:val="0"/>
        <w:spacing w:after="0"/>
        <w:jc w:val="center"/>
        <w:rPr>
          <w:rFonts w:hint="eastAsia" w:ascii="宋体" w:hAnsi="宋体" w:cs="宋体"/>
          <w:kern w:val="0"/>
          <w:sz w:val="24"/>
          <w:szCs w:val="24"/>
        </w:rPr>
      </w:pPr>
      <w:r>
        <w:rPr>
          <w:rFonts w:hint="eastAsia" w:ascii="宋体" w:hAnsi="宋体" w:cs="宋体"/>
          <w:kern w:val="0"/>
          <w:sz w:val="24"/>
          <w:szCs w:val="24"/>
        </w:rPr>
        <w:drawing>
          <wp:inline distT="0" distB="0" distL="0" distR="0">
            <wp:extent cx="3527425" cy="5601970"/>
            <wp:effectExtent l="0" t="0" r="0" b="0"/>
            <wp:docPr id="92463716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637169"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532052" cy="5609205"/>
                    </a:xfrm>
                    <a:prstGeom prst="rect">
                      <a:avLst/>
                    </a:prstGeom>
                    <a:noFill/>
                  </pic:spPr>
                </pic:pic>
              </a:graphicData>
            </a:graphic>
          </wp:inline>
        </w:drawing>
      </w:r>
    </w:p>
    <w:p w14:paraId="67059891">
      <w:pPr>
        <w:widowControl/>
        <w:topLinePunct w:val="0"/>
        <w:spacing w:after="0"/>
        <w:jc w:val="center"/>
      </w:pPr>
      <w:r>
        <w:rPr>
          <w:rFonts w:hint="eastAsia"/>
        </w:rPr>
        <w:t>如上图表/数据，摘自QYResearch报告“全球PCB卡边缘连接器市场研究报告2025-2031”，排名基于2</w:t>
      </w:r>
      <w:r>
        <w:t>02</w:t>
      </w:r>
      <w:r>
        <w:rPr>
          <w:rFonts w:hint="eastAsia"/>
        </w:rPr>
        <w:t>4数据。目前最新数据，以本公司最新调研数据为准。</w:t>
      </w:r>
    </w:p>
    <w:p w14:paraId="5CBAE145">
      <w:pPr>
        <w:pStyle w:val="145"/>
        <w:spacing w:line="480" w:lineRule="auto"/>
        <w:rPr>
          <w:lang w:eastAsia="zh-CN"/>
        </w:rPr>
      </w:pPr>
      <w:r>
        <w:rPr>
          <w:rFonts w:hint="eastAsia"/>
          <w:lang w:eastAsia="zh-CN"/>
        </w:rPr>
        <w:t>根据QYResearch头部企业研究中心调研，全球范围内PCB卡边缘连接器生产商主要包括Molex、TE Connectivity、Samtec、EDAC、Amphenol、Harting、Adam Tech、Eaton、3M、Kyocera avx等。2024年，全球前五大厂商占有大约35.8%的市场份额。</w:t>
      </w:r>
    </w:p>
    <w:p w14:paraId="0860F1CE">
      <w:pPr>
        <w:pStyle w:val="145"/>
        <w:spacing w:line="480" w:lineRule="auto"/>
        <w:rPr>
          <w:b/>
          <w:bCs/>
          <w:lang w:eastAsia="zh-CN"/>
        </w:rPr>
      </w:pPr>
      <w:r>
        <w:rPr>
          <w:rFonts w:hint="eastAsia"/>
          <w:b/>
          <w:bCs/>
          <w:lang w:eastAsia="zh-CN"/>
        </w:rPr>
        <w:t>全球PCB卡边缘连接器的市场驱动因素和机遇</w:t>
      </w:r>
    </w:p>
    <w:p w14:paraId="33E2DA7F">
      <w:pPr>
        <w:pStyle w:val="145"/>
        <w:spacing w:line="480" w:lineRule="auto"/>
        <w:rPr>
          <w:rFonts w:hint="eastAsia"/>
          <w:lang w:eastAsia="zh-CN"/>
        </w:rPr>
      </w:pPr>
      <w:r>
        <w:rPr>
          <w:rFonts w:hint="eastAsia"/>
          <w:lang w:eastAsia="zh-CN"/>
        </w:rPr>
        <w:t>电子设备需求增长：全球电子行业的不断发展，带动了对卡边缘连接器的需求不断增长。新技术层出不穷，电子设备的尺寸和复杂程度不断提升，对能够处理高速数据传输并在恶劣环境下提供可靠性能的连接的需求也日益增长。卡边缘连接器广泛应用于智能手机、平板电脑等消费电子产品，以及医疗设备和汽车系统等工业应用，推动了市场需求的增长。</w:t>
      </w:r>
    </w:p>
    <w:p w14:paraId="20E5001F">
      <w:pPr>
        <w:pStyle w:val="145"/>
        <w:spacing w:line="480" w:lineRule="auto"/>
        <w:rPr>
          <w:rFonts w:hint="eastAsia"/>
          <w:lang w:eastAsia="zh-CN"/>
        </w:rPr>
      </w:pPr>
      <w:r>
        <w:rPr>
          <w:rFonts w:hint="eastAsia"/>
          <w:lang w:eastAsia="zh-CN"/>
        </w:rPr>
        <w:t>小型化趋势：随着电子设备变得越来越小、越来越紧凑，对能够处理高密度连接的连接器的需求也日益增长。卡边缘连接器能够在小空间内提供大量的连接，满足了电子设备小型化的要求，因此得到了越来越广泛的应用。</w:t>
      </w:r>
    </w:p>
    <w:p w14:paraId="5BA76BAD">
      <w:pPr>
        <w:pStyle w:val="145"/>
        <w:spacing w:line="480" w:lineRule="auto"/>
        <w:rPr>
          <w:lang w:eastAsia="zh-CN"/>
        </w:rPr>
      </w:pPr>
      <w:r>
        <w:rPr>
          <w:rFonts w:hint="eastAsia"/>
          <w:lang w:eastAsia="zh-CN"/>
        </w:rPr>
        <w:t>新兴产业发展：汽车行业向电动汽车的转型以及物联网设备的增加，推动了对卡边缘连接器的需求。这些连接器为车载信息娱乐、导航和</w:t>
      </w:r>
      <w:r>
        <w:rPr>
          <w:lang w:eastAsia="zh-CN"/>
        </w:rPr>
        <w:t>ADAS</w:t>
      </w:r>
      <w:r>
        <w:rPr>
          <w:rFonts w:hint="eastAsia"/>
          <w:lang w:eastAsia="zh-CN"/>
        </w:rPr>
        <w:t>等各种电子系统提供可靠的连接解决方</w:t>
      </w:r>
      <w:r>
        <w:rPr>
          <w:rFonts w:ascii="Times New Roman" w:hAnsi="Times New Roman" w:cs="Times New Roman"/>
          <w:lang w:eastAsia="zh-CN"/>
        </w:rPr>
        <w:t>​​</w:t>
      </w:r>
      <w:r>
        <w:rPr>
          <w:rFonts w:hint="eastAsia" w:ascii="宋体" w:hAnsi="宋体" w:cs="宋体"/>
          <w:lang w:eastAsia="zh-CN"/>
        </w:rPr>
        <w:t>案。此外，汽车领域恶劣的环境条件也需要更加耐用的连接器，进一步推动了这一细分市场的增长。</w:t>
      </w:r>
    </w:p>
    <w:p w14:paraId="40DAA04B">
      <w:pPr>
        <w:pStyle w:val="145"/>
        <w:spacing w:line="480" w:lineRule="auto"/>
        <w:rPr>
          <w:lang w:eastAsia="zh-CN"/>
        </w:rPr>
      </w:pPr>
    </w:p>
    <w:p w14:paraId="1E442BEC">
      <w:pPr>
        <w:pStyle w:val="145"/>
        <w:spacing w:line="480" w:lineRule="auto"/>
        <w:rPr>
          <w:b/>
          <w:bCs/>
          <w:lang w:eastAsia="zh-CN"/>
        </w:rPr>
      </w:pPr>
      <w:r>
        <w:rPr>
          <w:rFonts w:hint="eastAsia"/>
          <w:b/>
          <w:bCs/>
          <w:lang w:val="en-US" w:eastAsia="zh-CN"/>
        </w:rPr>
        <w:t>全球</w:t>
      </w:r>
      <w:r>
        <w:rPr>
          <w:rFonts w:hint="eastAsia"/>
          <w:b/>
          <w:bCs/>
          <w:lang w:eastAsia="zh-CN"/>
        </w:rPr>
        <w:t>PCB卡边缘连接器市场趋势</w:t>
      </w:r>
    </w:p>
    <w:p w14:paraId="4D8547A8">
      <w:pPr>
        <w:pStyle w:val="145"/>
        <w:spacing w:line="480" w:lineRule="auto"/>
        <w:rPr>
          <w:rFonts w:hint="eastAsia"/>
          <w:lang w:eastAsia="zh-CN"/>
        </w:rPr>
      </w:pPr>
      <w:r>
        <w:rPr>
          <w:rFonts w:hint="eastAsia"/>
          <w:lang w:eastAsia="zh-CN"/>
        </w:rPr>
        <w:t>小型化、轻量化设计趋势：随着电子技术的发展，尤其是紧凑型电子产品在消费电子和电信领域的普及，对小型化、轻量化的卡边缘连接器的需求日益增长。这些连接器需要提供快速的数据传输和完美的信号质量，同时适应电子设备小型化、轻量化的趋势。制造商正在升级材料和工艺，使连接器更加坚固耐用，能够承受恶劣环境并拥有更长的使用寿命。</w:t>
      </w:r>
    </w:p>
    <w:p w14:paraId="4E7D6970">
      <w:pPr>
        <w:pStyle w:val="145"/>
        <w:spacing w:line="480" w:lineRule="auto"/>
        <w:rPr>
          <w:lang w:eastAsia="zh-CN"/>
        </w:rPr>
      </w:pPr>
      <w:r>
        <w:rPr>
          <w:rFonts w:hint="eastAsia"/>
          <w:lang w:eastAsia="zh-CN"/>
        </w:rPr>
        <w:t>高速高密度连接需求：5G、物联网和人工智能等技术的不断进步，使得电子设备对高速高密度连接的需求日益增长。卡边缘连接器需要在确保信号完整性和电磁兼容性的同时，保持紧凑的结构以减少信号衰减和干扰，以满足大数据处理和高频信号传输的需求。</w:t>
      </w:r>
    </w:p>
    <w:p w14:paraId="6A51C7AD">
      <w:pPr>
        <w:pStyle w:val="145"/>
        <w:spacing w:line="480" w:lineRule="auto"/>
        <w:rPr>
          <w:rFonts w:hint="eastAsia"/>
          <w:lang w:eastAsia="zh-CN"/>
        </w:rPr>
      </w:pPr>
    </w:p>
    <w:p w14:paraId="5E662B50">
      <w:pPr>
        <w:pStyle w:val="145"/>
        <w:spacing w:line="480" w:lineRule="auto"/>
        <w:rPr>
          <w:b/>
          <w:bCs/>
          <w:lang w:eastAsia="zh-CN"/>
        </w:rPr>
      </w:pPr>
      <w:r>
        <w:rPr>
          <w:rFonts w:hint="eastAsia"/>
          <w:b/>
          <w:bCs/>
          <w:lang w:val="en-US" w:eastAsia="zh-CN"/>
        </w:rPr>
        <w:t>全球</w:t>
      </w:r>
      <w:r>
        <w:rPr>
          <w:rFonts w:hint="eastAsia"/>
          <w:b/>
          <w:bCs/>
          <w:lang w:eastAsia="zh-CN"/>
        </w:rPr>
        <w:t>PCB卡边缘连接器市场限制</w:t>
      </w:r>
    </w:p>
    <w:p w14:paraId="4E83FF47">
      <w:pPr>
        <w:pStyle w:val="145"/>
        <w:spacing w:line="480" w:lineRule="auto"/>
        <w:rPr>
          <w:rFonts w:hint="eastAsia"/>
          <w:lang w:eastAsia="zh-CN"/>
        </w:rPr>
      </w:pPr>
      <w:r>
        <w:rPr>
          <w:rFonts w:hint="eastAsia"/>
          <w:lang w:eastAsia="zh-CN"/>
        </w:rPr>
        <w:t>市场竞争激烈：全球PCB卡边缘连接器市场竞争激烈，国内外众多企业进入该领域，产品同质化严重。全球前五大厂商占据约35%至40%的市场份额，市场集中度高导致新进入者难以突围，在一定程度上阻碍了市场竞争，也可能导致创新动力不足。</w:t>
      </w:r>
    </w:p>
    <w:p w14:paraId="4368D6AB">
      <w:pPr>
        <w:pStyle w:val="145"/>
        <w:spacing w:line="480" w:lineRule="auto"/>
        <w:rPr>
          <w:lang w:eastAsia="zh-CN"/>
        </w:rPr>
      </w:pPr>
      <w:r>
        <w:rPr>
          <w:rFonts w:hint="eastAsia"/>
          <w:lang w:eastAsia="zh-CN"/>
        </w:rPr>
        <w:t>技术标准复杂：随着技术的发展，对PCB卡边缘连接器的性能要求不断提高，5G、物联网、人工智能等新技术对连接器在高速数据传输、低时延、高可靠性等方面的性能提出了更高的要求。同时，IEC 61076、MIL-DTL-38999等国际标准以及国内标准也对连接器的性能和安全有着严格的规定。企业需要投入大量的时间和成本来确保产品符合这些标准，这增加了研发和生产成本。</w:t>
      </w:r>
    </w:p>
    <w:p w14:paraId="28003963">
      <w:pPr>
        <w:pStyle w:val="145"/>
        <w:spacing w:line="480" w:lineRule="auto"/>
        <w:rPr>
          <w:lang w:eastAsia="zh-CN"/>
        </w:rPr>
      </w:pPr>
    </w:p>
    <w:p w14:paraId="2BA64795">
      <w:pPr>
        <w:pStyle w:val="145"/>
        <w:spacing w:line="480" w:lineRule="auto"/>
        <w:rPr>
          <w:lang w:eastAsia="zh-CN"/>
        </w:rPr>
      </w:pPr>
    </w:p>
    <w:p w14:paraId="2514F6F2">
      <w:pPr>
        <w:pStyle w:val="145"/>
        <w:spacing w:line="480" w:lineRule="auto"/>
        <w:rPr>
          <w:lang w:eastAsia="zh-CN"/>
        </w:rPr>
      </w:pPr>
    </w:p>
    <w:p w14:paraId="7EA8A233">
      <w:pPr>
        <w:pStyle w:val="145"/>
        <w:rPr>
          <w:lang w:eastAsia="zh-CN"/>
        </w:rPr>
      </w:pPr>
    </w:p>
    <w:p w14:paraId="181C151A">
      <w:pPr>
        <w:pStyle w:val="145"/>
        <w:rPr>
          <w:rFonts w:hint="eastAsia"/>
          <w:lang w:eastAsia="zh-CN"/>
        </w:rPr>
      </w:pPr>
    </w:p>
    <w:bookmarkEnd w:id="0"/>
    <w:bookmarkEnd w:id="1"/>
    <w:bookmarkEnd w:id="2"/>
    <w:bookmarkEnd w:id="3"/>
    <w:bookmarkEnd w:id="4"/>
    <w:bookmarkEnd w:id="5"/>
    <w:bookmarkEnd w:id="6"/>
    <w:bookmarkEnd w:id="7"/>
    <w:bookmarkEnd w:id="8"/>
    <w:bookmarkEnd w:id="9"/>
    <w:bookmarkEnd w:id="10"/>
    <w:bookmarkEnd w:id="11"/>
    <w:bookmarkEnd w:id="12"/>
    <w:p w14:paraId="7A0744C1">
      <w:pPr>
        <w:pStyle w:val="145"/>
        <w:rPr>
          <w:lang w:eastAsia="zh-CN"/>
        </w:rPr>
      </w:pPr>
      <w:bookmarkStart w:id="13" w:name="_GoBack"/>
      <w:bookmarkEnd w:id="13"/>
    </w:p>
    <w:p w14:paraId="29AB3BDC">
      <w:pPr>
        <w:pStyle w:val="145"/>
        <w:rPr>
          <w:lang w:eastAsia="zh-CN"/>
        </w:rPr>
      </w:pPr>
      <w:r>
        <w:rPr>
          <w:lang w:eastAsia="zh-CN"/>
        </w:rPr>
        <w:t>QYResearch</w:t>
      </w:r>
      <w:r>
        <w:rPr>
          <w:rFonts w:hint="eastAsia"/>
          <w:lang w:eastAsia="zh-CN"/>
        </w:rPr>
        <w:t>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sectPr>
      <w:headerReference r:id="rId6" w:type="first"/>
      <w:headerReference r:id="rId4" w:type="default"/>
      <w:footerReference r:id="rId7" w:type="default"/>
      <w:headerReference r:id="rId5" w:type="even"/>
      <w:pgSz w:w="11906" w:h="16838"/>
      <w:pgMar w:top="1440" w:right="1080" w:bottom="1440" w:left="1080"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90D9E">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68CA4">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3F782D03">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3F782D03">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7FDE606B">
    <w:pPr>
      <w:pStyle w:val="22"/>
      <w:pBdr>
        <w:bottom w:val="none" w:color="auto" w:sz="0" w:space="0"/>
      </w:pBdr>
      <w:jc w:val="both"/>
    </w:pPr>
  </w:p>
  <w:p w14:paraId="1125D7D8">
    <w:pPr>
      <w:pStyle w:val="22"/>
      <w:pBdr>
        <w:bottom w:val="none" w:color="auto" w:sz="0" w:space="0"/>
      </w:pBdr>
      <w:jc w:val="both"/>
    </w:pPr>
  </w:p>
  <w:p w14:paraId="73D62D64">
    <w:pPr>
      <w:pStyle w:val="22"/>
      <w:pBdr>
        <w:bottom w:val="none" w:color="auto" w:sz="0" w:space="0"/>
      </w:pBdr>
      <w:jc w:val="both"/>
    </w:pPr>
  </w:p>
  <w:p w14:paraId="7A9850CF">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BDF05">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D4461">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TY2MzI3ZTk0N2ZhODI4OTJiYTFmY2JlOWQ1MTEyZTc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AA9"/>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A29"/>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75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810"/>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00"/>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4FA8"/>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51C"/>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89A"/>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989"/>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732"/>
    <w:rsid w:val="00282954"/>
    <w:rsid w:val="00282960"/>
    <w:rsid w:val="00282965"/>
    <w:rsid w:val="00282B76"/>
    <w:rsid w:val="0028332D"/>
    <w:rsid w:val="0028356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BE0"/>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8C6"/>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DFA"/>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03"/>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70"/>
    <w:rsid w:val="00375DF5"/>
    <w:rsid w:val="0037615B"/>
    <w:rsid w:val="003767A4"/>
    <w:rsid w:val="003768D5"/>
    <w:rsid w:val="0037698D"/>
    <w:rsid w:val="00376A5C"/>
    <w:rsid w:val="00376A84"/>
    <w:rsid w:val="00376AA1"/>
    <w:rsid w:val="00376AED"/>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C62"/>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107"/>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3FCE"/>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6EAA"/>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0ECF"/>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42F"/>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C22"/>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55E"/>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19B"/>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2A5"/>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21C"/>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7ED"/>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71"/>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3A"/>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52D"/>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31D"/>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7D5"/>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4E"/>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85"/>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039"/>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066"/>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390"/>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586"/>
    <w:rsid w:val="00B10908"/>
    <w:rsid w:val="00B10975"/>
    <w:rsid w:val="00B109E6"/>
    <w:rsid w:val="00B10E96"/>
    <w:rsid w:val="00B10F28"/>
    <w:rsid w:val="00B10FF3"/>
    <w:rsid w:val="00B11308"/>
    <w:rsid w:val="00B11612"/>
    <w:rsid w:val="00B11729"/>
    <w:rsid w:val="00B11816"/>
    <w:rsid w:val="00B1181B"/>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6D75"/>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5F2"/>
    <w:rsid w:val="00BA1EFF"/>
    <w:rsid w:val="00BA1F30"/>
    <w:rsid w:val="00BA2028"/>
    <w:rsid w:val="00BA24C2"/>
    <w:rsid w:val="00BA265D"/>
    <w:rsid w:val="00BA27B4"/>
    <w:rsid w:val="00BA27C4"/>
    <w:rsid w:val="00BA2887"/>
    <w:rsid w:val="00BA2C87"/>
    <w:rsid w:val="00BA2F01"/>
    <w:rsid w:val="00BA31E4"/>
    <w:rsid w:val="00BA3621"/>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31C"/>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A7"/>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3BB"/>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2"/>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062"/>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2E6"/>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A92"/>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6F73"/>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3B2"/>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387"/>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3E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5F2D"/>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7CF539A"/>
    <w:rsid w:val="24AA3A0B"/>
    <w:rsid w:val="2C550700"/>
    <w:rsid w:val="2FF9558D"/>
    <w:rsid w:val="30B67187"/>
    <w:rsid w:val="362F1FC2"/>
    <w:rsid w:val="40EE65D6"/>
    <w:rsid w:val="47FA075F"/>
    <w:rsid w:val="50E85385"/>
    <w:rsid w:val="569F037A"/>
    <w:rsid w:val="59DF5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line="480" w:lineRule="auto"/>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ahoma" w:hAnsi="Tahoma" w:eastAsia="宋体"/>
      <w:i/>
      <w:color w:val="0D0D0D" w:themeColor="text1" w:themeTint="F2"/>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清单表 2 - 着色 41"/>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清单表 1 浅色 - 着色 1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清单表 2 - 着色 21"/>
    <w:basedOn w:val="34"/>
    <w:autoRedefine/>
    <w:qFormat/>
    <w:uiPriority w:val="47"/>
    <w:rPr>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sz w:val="22"/>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网格表 21"/>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网格表 2 - 着色 41"/>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网格表 2 - 着色 51"/>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清单表 2 - 着色 51"/>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清单表 1 浅色 - 着色 51"/>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sz w:val="21"/>
      <w:szCs w:val="22"/>
      <w:lang w:val="en-IN" w:eastAsia="en-US" w:bidi="ar-SA"/>
    </w:rPr>
  </w:style>
  <w:style w:type="character" w:customStyle="1" w:styleId="204">
    <w:name w:val="未处理的提及6"/>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6</Pages>
  <Words>2407</Words>
  <Characters>2754</Characters>
  <Lines>34</Lines>
  <Paragraphs>9</Paragraphs>
  <TotalTime>203</TotalTime>
  <ScaleCrop>false</ScaleCrop>
  <LinksUpToDate>false</LinksUpToDate>
  <CharactersWithSpaces>2765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2025-09-29T08:56:46Z</dcterms:modified>
  <cp:revision>891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8244C2FF1AE84807A5D0AD1BB1FD9FB7_12</vt:lpwstr>
  </property>
  <property fmtid="{D5CDD505-2E9C-101B-9397-08002B2CF9AE}" pid="4" name="KSOTemplateDocerSaveRecord">
    <vt:lpwstr>eyJoZGlkIjoiMjFmNGNlNTgxMTU0YzBhMjY3NTRmNDcyYjNlZTNhMDciLCJ1c2VySWQiOiI0MzI5MTg4NDMifQ==</vt:lpwstr>
  </property>
</Properties>
</file>