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CD58DB">
      <w:pPr>
        <w:pStyle w:val="3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cs="宋体"/>
          <w:sz w:val="21"/>
          <w:szCs w:val="21"/>
          <w:lang w:eastAsia="zh-CN"/>
        </w:rPr>
        <w:t>【</w:t>
      </w:r>
      <w:r>
        <w:rPr>
          <w:rFonts w:hint="eastAsia" w:cs="宋体"/>
          <w:sz w:val="21"/>
          <w:szCs w:val="21"/>
          <w:lang w:val="en-US" w:eastAsia="zh-CN"/>
        </w:rPr>
        <w:t>辰辉创聚生物</w:t>
      </w:r>
      <w:r>
        <w:rPr>
          <w:rFonts w:hint="eastAsia" w:cs="宋体"/>
          <w:sz w:val="21"/>
          <w:szCs w:val="21"/>
          <w:lang w:eastAsia="zh-CN"/>
        </w:rPr>
        <w:t>】</w:t>
      </w:r>
      <w:r>
        <w:rPr>
          <w:rFonts w:hint="eastAsia" w:ascii="宋体" w:hAnsi="宋体" w:eastAsia="宋体" w:cs="宋体"/>
          <w:sz w:val="21"/>
          <w:szCs w:val="21"/>
        </w:rPr>
        <w:t>HIF-2α蛋白技术概述：科研试剂中的低氧通路关键因子</w:t>
      </w:r>
      <w:bookmarkStart w:id="0" w:name="_GoBack"/>
      <w:r>
        <w:rPr>
          <w:rFonts w:hint="eastAsia" w:ascii="宋体" w:hAnsi="宋体" w:eastAsia="宋体" w:cs="宋体"/>
          <w:sz w:val="21"/>
          <w:szCs w:val="21"/>
          <w:lang w:eastAsia="zh-CN"/>
        </w:rPr>
        <w:drawing>
          <wp:inline distT="0" distB="0" distL="114300" distR="114300">
            <wp:extent cx="5271770" cy="2947670"/>
            <wp:effectExtent l="0" t="0" r="5080" b="5080"/>
            <wp:docPr id="1" name="图片 1" descr="HIF2a水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IF2a水印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47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60AFF873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Style w:val="9"/>
          <w:rFonts w:hint="eastAsia" w:ascii="宋体" w:hAnsi="宋体" w:eastAsia="宋体" w:cs="宋体"/>
          <w:sz w:val="21"/>
          <w:szCs w:val="21"/>
        </w:rPr>
        <w:t>低氧诱导因子-2α（HIF-2α）</w:t>
      </w:r>
      <w:r>
        <w:rPr>
          <w:rFonts w:hint="eastAsia" w:ascii="宋体" w:hAnsi="宋体" w:eastAsia="宋体" w:cs="宋体"/>
          <w:sz w:val="21"/>
          <w:szCs w:val="21"/>
        </w:rPr>
        <w:t>，也称为EPAS1（Endothelial PAS Domain-Containing Protein 1），是一种在哺乳动物细胞中对氧气浓度变化高度敏感的转录因子。作为HIF家族的重要成员，HIF-2α在细胞低氧应答、转录调控以及蛋白互作网络中发挥核心作用。随着对</w:t>
      </w:r>
      <w:r>
        <w:rPr>
          <w:rStyle w:val="9"/>
          <w:rFonts w:hint="eastAsia" w:ascii="宋体" w:hAnsi="宋体" w:eastAsia="宋体" w:cs="宋体"/>
          <w:sz w:val="21"/>
          <w:szCs w:val="21"/>
        </w:rPr>
        <w:t>低氧信号通路</w:t>
      </w:r>
      <w:r>
        <w:rPr>
          <w:rFonts w:hint="eastAsia" w:ascii="宋体" w:hAnsi="宋体" w:eastAsia="宋体" w:cs="宋体"/>
          <w:sz w:val="21"/>
          <w:szCs w:val="21"/>
        </w:rPr>
        <w:t>的研究不断深入，HIF-2α的结构和功能特性已成为基础生命科学、细胞生物学、分子机制研究等多个方向的重要研究内容。</w:t>
      </w:r>
    </w:p>
    <w:p w14:paraId="450DAD3C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本技术文档旨在从科研角度系统介绍HIF-2α蛋白的结构特性、调控机制及其在体外实验中的常见应用场景，为科研人员在构建实验模型、分析蛋白功能及筛选调控因子等方面提供参考。</w:t>
      </w:r>
    </w:p>
    <w:p w14:paraId="7D5EB5BB">
      <w:pPr>
        <w:pStyle w:val="4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一、蛋白结构与功能域</w:t>
      </w:r>
    </w:p>
    <w:p w14:paraId="70B66E6B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HIF-2α蛋白为全长约870个氨基酸的核内转录调控蛋白，属于bHLH-PAS家族，具有典型的多个功能域：</w:t>
      </w:r>
    </w:p>
    <w:p w14:paraId="20D28C36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Style w:val="9"/>
          <w:rFonts w:hint="eastAsia" w:ascii="宋体" w:hAnsi="宋体" w:eastAsia="宋体" w:cs="宋体"/>
          <w:sz w:val="21"/>
          <w:szCs w:val="21"/>
        </w:rPr>
        <w:t>bHLH结构域（basic helix-loop-helix）</w:t>
      </w:r>
      <w:r>
        <w:rPr>
          <w:rFonts w:hint="eastAsia" w:ascii="宋体" w:hAnsi="宋体" w:eastAsia="宋体" w:cs="宋体"/>
          <w:sz w:val="21"/>
          <w:szCs w:val="21"/>
        </w:rPr>
        <w:t>：位于N端，参与DNA结合与二聚化，是识别低氧反应元件（HRE）的关键区域；</w:t>
      </w:r>
    </w:p>
    <w:p w14:paraId="7B538A2C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Style w:val="9"/>
          <w:rFonts w:hint="eastAsia" w:ascii="宋体" w:hAnsi="宋体" w:eastAsia="宋体" w:cs="宋体"/>
          <w:sz w:val="21"/>
          <w:szCs w:val="21"/>
        </w:rPr>
        <w:t>PAS-A与PAS-B结构域</w:t>
      </w:r>
      <w:r>
        <w:rPr>
          <w:rFonts w:hint="eastAsia" w:ascii="宋体" w:hAnsi="宋体" w:eastAsia="宋体" w:cs="宋体"/>
          <w:sz w:val="21"/>
          <w:szCs w:val="21"/>
        </w:rPr>
        <w:t>：调控与ARNT（芳香烃受体核转位蛋白）的异源二聚体形成，同时是小分子配体结合位点，尤以PAS-B结构域在构象变化中尤为关键；</w:t>
      </w:r>
    </w:p>
    <w:p w14:paraId="7B27E3CE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Style w:val="9"/>
          <w:rFonts w:hint="eastAsia" w:ascii="宋体" w:hAnsi="宋体" w:eastAsia="宋体" w:cs="宋体"/>
          <w:sz w:val="21"/>
          <w:szCs w:val="21"/>
        </w:rPr>
        <w:t>ODDD结构域（oxygen-dependent degradation domain）</w:t>
      </w:r>
      <w:r>
        <w:rPr>
          <w:rFonts w:hint="eastAsia" w:ascii="宋体" w:hAnsi="宋体" w:eastAsia="宋体" w:cs="宋体"/>
          <w:sz w:val="21"/>
          <w:szCs w:val="21"/>
        </w:rPr>
        <w:t>：位于蛋白中段，在常氧状态下被脯氨酰羟化酶修饰，随后被VHL复合物识别并介导泛素化降解；</w:t>
      </w:r>
    </w:p>
    <w:p w14:paraId="477CA387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Style w:val="9"/>
          <w:rFonts w:hint="eastAsia" w:ascii="宋体" w:hAnsi="宋体" w:eastAsia="宋体" w:cs="宋体"/>
          <w:sz w:val="21"/>
          <w:szCs w:val="21"/>
        </w:rPr>
        <w:t>转录激活区（TAD）</w:t>
      </w:r>
      <w:r>
        <w:rPr>
          <w:rFonts w:hint="eastAsia" w:ascii="宋体" w:hAnsi="宋体" w:eastAsia="宋体" w:cs="宋体"/>
          <w:sz w:val="21"/>
          <w:szCs w:val="21"/>
        </w:rPr>
        <w:t>：分布在C端区域，负责与共激活因子（如CBP/p300）结合并启动靶基因的转录过程。</w:t>
      </w:r>
    </w:p>
    <w:p w14:paraId="5B6C382A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这种多功能结构为HIF-2α提供了复杂的调控能力，使其能在不同氧环境下动态调节基因表达网络。</w:t>
      </w:r>
    </w:p>
    <w:p w14:paraId="412FB38E">
      <w:pPr>
        <w:pStyle w:val="4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二、调控机制与二聚体形成</w:t>
      </w:r>
    </w:p>
    <w:p w14:paraId="5AA4CD3F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在常氧条件下，HIF-2α蛋白的两个关键脯氨酸位点（Pro405 和 Pro531）被脯氨酰羟化酶（PHD）修饰，从而暴露出VHL识别位点。随后，VHL泛素连接酶复合物介导其多泛素化并靶向蛋白酶体降解。</w:t>
      </w:r>
    </w:p>
    <w:p w14:paraId="64377532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而在低氧环境下，羟化过程被抑制，HIF-2α得以稳定积累并转位至细胞核内，与ARNT形成异源二聚体。该复合物随后结合DNA中含有HRE序列的靶基因启动子，启动多种与低氧应答相关的转录程序。</w:t>
      </w:r>
    </w:p>
    <w:p w14:paraId="7CCB64B6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在实验设计中，研究者通常使用重组HIF-2α与ARNT蛋白构建体外二聚体系统，以研究其在低氧条件下的信号级联反应，是探索HIF通路机制不可或缺的工具之一。</w:t>
      </w:r>
    </w:p>
    <w:p w14:paraId="70BE3252">
      <w:pPr>
        <w:pStyle w:val="4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三、科研试剂中的应用场景</w:t>
      </w:r>
    </w:p>
    <w:p w14:paraId="63A5EE8E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在科研层面，</w:t>
      </w:r>
      <w:r>
        <w:rPr>
          <w:rStyle w:val="9"/>
          <w:rFonts w:hint="eastAsia" w:ascii="宋体" w:hAnsi="宋体" w:eastAsia="宋体" w:cs="宋体"/>
          <w:sz w:val="21"/>
          <w:szCs w:val="21"/>
        </w:rPr>
        <w:t>重组HIF-2α蛋白</w:t>
      </w:r>
      <w:r>
        <w:rPr>
          <w:rFonts w:hint="eastAsia" w:ascii="宋体" w:hAnsi="宋体" w:eastAsia="宋体" w:cs="宋体"/>
          <w:sz w:val="21"/>
          <w:szCs w:val="21"/>
        </w:rPr>
        <w:t>常被应用于以下多个方向，支持各类体外分析与机制研究：</w:t>
      </w:r>
    </w:p>
    <w:p w14:paraId="5CD053F8">
      <w:pPr>
        <w:pStyle w:val="5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1. DNA结合实验</w:t>
      </w:r>
    </w:p>
    <w:p w14:paraId="4FD6A31C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利用EMSA（电泳迁移率分析）或DNA pull-down实验，检测HIF-2α对HRE序列的结合能力。研究者可使用标记探针与重组蛋白共同孵育，以观察结合迁移带。</w:t>
      </w:r>
    </w:p>
    <w:p w14:paraId="4F08A9AF">
      <w:pPr>
        <w:pStyle w:val="5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 蛋白互作分析</w:t>
      </w:r>
    </w:p>
    <w:p w14:paraId="507F2F3C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HIF-2α可与ARNT、VHL、p300等蛋白形成复合物。重组蛋白常被用于GST pull-down、免疫共沉淀（Co-IP）或表面等离子体共振（SPR）实验，以定量或定性分析蛋白-蛋白间的结合亲和力和区域。</w:t>
      </w:r>
    </w:p>
    <w:p w14:paraId="48212B2C">
      <w:pPr>
        <w:pStyle w:val="5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3. 小分子结合与筛选</w:t>
      </w:r>
    </w:p>
    <w:p w14:paraId="38D3D9C7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PAS-B结构域可作为小分子配体结合的热点区域，适用于荧光偏振（FP）、AlphaScreen、等温滴定量热（ITC）等高通量筛选方法。科研人员可利用重组HIF-2α蛋白筛选其稳定剂、抑制剂或构象调节因子。</w:t>
      </w:r>
    </w:p>
    <w:p w14:paraId="63D4807D">
      <w:pPr>
        <w:pStyle w:val="5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4. 转录活性构建</w:t>
      </w:r>
    </w:p>
    <w:p w14:paraId="61C7874F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通过与共激活因子共表达或重组，HIF-2α可构建入体外转录系统中，分析特定靶基因启动子区的活性响应，常配合荧光素酶报告系统使用。</w:t>
      </w:r>
    </w:p>
    <w:p w14:paraId="7D1FA810">
      <w:pPr>
        <w:pStyle w:val="5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5. 结构生物学研究</w:t>
      </w:r>
    </w:p>
    <w:p w14:paraId="3521C052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为了明确其在氧调控和小分子结合过程中的结构变构过程，科研人员通常重组表达PAS-B单域蛋白进行X-射线晶体学、核磁共振（NMR）或冷冻电镜（Cryo-EM）分析。该方法可用于精确解析结合口袋与抑制机制，是结构设计与机理研究的基础。</w:t>
      </w:r>
    </w:p>
    <w:p w14:paraId="4DBA00A7">
      <w:pPr>
        <w:pStyle w:val="4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四、科研优势</w:t>
      </w:r>
    </w:p>
    <w:p w14:paraId="5B03F6DF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HIF-2α作为一种氧浓度响应的关键转录因子，其重组形式为科研提供了精准、可控且复现性高的实验工具，主要优势包括：</w:t>
      </w:r>
    </w:p>
    <w:p w14:paraId="1C818027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实验条件稳定、避免低氧培养的技术干扰；</w:t>
      </w:r>
    </w:p>
    <w:p w14:paraId="1AC7B9E9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支持片段表达与全长构建，适用于不同实验目的；</w:t>
      </w:r>
    </w:p>
    <w:p w14:paraId="684836FA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可在细胞外重建HIF信号网络，构建模块化体外系统；</w:t>
      </w:r>
    </w:p>
    <w:p w14:paraId="4A4CCEBD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有助于靶点筛选、结构功能分析及突变验证。</w:t>
      </w:r>
    </w:p>
    <w:p w14:paraId="248B886B">
      <w:pPr>
        <w:pStyle w:val="4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五、常见研究物种与标签形式</w:t>
      </w:r>
    </w:p>
    <w:p w14:paraId="1587F7C0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人源HIF-2α蛋白（</w:t>
      </w:r>
      <w:r>
        <w:rPr>
          <w:rStyle w:val="9"/>
          <w:rFonts w:hint="eastAsia" w:ascii="宋体" w:hAnsi="宋体" w:eastAsia="宋体" w:cs="宋体"/>
          <w:sz w:val="21"/>
          <w:szCs w:val="21"/>
        </w:rPr>
        <w:t>recombinant human HIF-2α protein</w:t>
      </w:r>
      <w:r>
        <w:rPr>
          <w:rFonts w:hint="eastAsia" w:ascii="宋体" w:hAnsi="宋体" w:eastAsia="宋体" w:cs="宋体"/>
          <w:sz w:val="21"/>
          <w:szCs w:val="21"/>
        </w:rPr>
        <w:t>）为最常用表达形式，也有小鼠、大鼠来源蛋白。常见标签包括His、GST、Flag、Strep等，方便纯化、捕获和检测。</w:t>
      </w:r>
    </w:p>
    <w:p w14:paraId="18B2B126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科研工作中亦有使用功能缺失突变体（如ΔODDD）或结构域表达体（如PAS-B）以满足特定研究目的，这些构建体通过体外系统更便于机制研究或筛选平台搭建。</w:t>
      </w:r>
    </w:p>
    <w:p w14:paraId="49203539">
      <w:pPr>
        <w:pStyle w:val="3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参考文献</w:t>
      </w:r>
    </w:p>
    <w:p w14:paraId="02909EFD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1.</w:t>
      </w:r>
      <w:r>
        <w:rPr>
          <w:rFonts w:hint="eastAsia" w:ascii="宋体" w:hAnsi="宋体" w:eastAsia="宋体" w:cs="宋体"/>
          <w:sz w:val="21"/>
          <w:szCs w:val="21"/>
        </w:rPr>
        <w:t xml:space="preserve">Scheuermann, T. H. et al. Allosteric inhibition of hypoxia inducible factor-2α by a small molecule.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Nat. Chem. Biol.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9</w:t>
      </w:r>
      <w:r>
        <w:rPr>
          <w:rFonts w:hint="eastAsia" w:ascii="宋体" w:hAnsi="宋体" w:eastAsia="宋体" w:cs="宋体"/>
          <w:sz w:val="21"/>
          <w:szCs w:val="21"/>
        </w:rPr>
        <w:t>, 271–276 (2013).</w:t>
      </w:r>
    </w:p>
    <w:p w14:paraId="72EF8A96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</w:t>
      </w:r>
      <w:r>
        <w:rPr>
          <w:rFonts w:hint="eastAsia" w:ascii="宋体" w:hAnsi="宋体" w:eastAsia="宋体" w:cs="宋体"/>
          <w:sz w:val="21"/>
          <w:szCs w:val="21"/>
        </w:rPr>
        <w:t xml:space="preserve">Wu, D. et al. Structural basis of HIF-2α recognition by small molecules.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Nature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539</w:t>
      </w:r>
      <w:r>
        <w:rPr>
          <w:rFonts w:hint="eastAsia" w:ascii="宋体" w:hAnsi="宋体" w:eastAsia="宋体" w:cs="宋体"/>
          <w:sz w:val="21"/>
          <w:szCs w:val="21"/>
        </w:rPr>
        <w:t>, 270–273 (2016).</w:t>
      </w:r>
    </w:p>
    <w:p w14:paraId="62B6AD45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3.</w:t>
      </w:r>
      <w:r>
        <w:rPr>
          <w:rFonts w:hint="eastAsia" w:ascii="宋体" w:hAnsi="宋体" w:eastAsia="宋体" w:cs="宋体"/>
          <w:sz w:val="21"/>
          <w:szCs w:val="21"/>
        </w:rPr>
        <w:t xml:space="preserve">Tarade, D. et al. HIF-2α–ARNT heterodimerization inhibitors: evaluation using AlphaScreen.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J. Biol. Chem.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293</w:t>
      </w:r>
      <w:r>
        <w:rPr>
          <w:rFonts w:hint="eastAsia" w:ascii="宋体" w:hAnsi="宋体" w:eastAsia="宋体" w:cs="宋体"/>
          <w:sz w:val="21"/>
          <w:szCs w:val="21"/>
        </w:rPr>
        <w:t>, 13449–13463 (2018).</w:t>
      </w:r>
    </w:p>
    <w:p w14:paraId="5A460DF2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4.</w:t>
      </w:r>
      <w:r>
        <w:rPr>
          <w:rFonts w:hint="eastAsia" w:ascii="宋体" w:hAnsi="宋体" w:eastAsia="宋体" w:cs="宋体"/>
          <w:sz w:val="21"/>
          <w:szCs w:val="21"/>
        </w:rPr>
        <w:t xml:space="preserve">Sharma, S. et al. Structural characterization of HIF-2α–ARNT–DNA complexes.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Nat. Commun.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10</w:t>
      </w:r>
      <w:r>
        <w:rPr>
          <w:rFonts w:hint="eastAsia" w:ascii="宋体" w:hAnsi="宋体" w:eastAsia="宋体" w:cs="宋体"/>
          <w:sz w:val="21"/>
          <w:szCs w:val="21"/>
        </w:rPr>
        <w:t>, 1031 (2019).</w:t>
      </w:r>
    </w:p>
    <w:p w14:paraId="15E71447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5.</w:t>
      </w:r>
      <w:r>
        <w:rPr>
          <w:rFonts w:hint="eastAsia" w:ascii="宋体" w:hAnsi="宋体" w:eastAsia="宋体" w:cs="宋体"/>
          <w:sz w:val="21"/>
          <w:szCs w:val="21"/>
        </w:rPr>
        <w:t xml:space="preserve">Cho, H. et al. On-target efficacy of a HIF-2α antagonist in clear cell renal cell carcinoma.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Nature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539</w:t>
      </w:r>
      <w:r>
        <w:rPr>
          <w:rFonts w:hint="eastAsia" w:ascii="宋体" w:hAnsi="宋体" w:eastAsia="宋体" w:cs="宋体"/>
          <w:sz w:val="21"/>
          <w:szCs w:val="21"/>
        </w:rPr>
        <w:t>, 107–111 (2016).</w:t>
      </w:r>
    </w:p>
    <w:p w14:paraId="47B6C45D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6.</w:t>
      </w:r>
      <w:r>
        <w:rPr>
          <w:rFonts w:hint="eastAsia" w:ascii="宋体" w:hAnsi="宋体" w:eastAsia="宋体" w:cs="宋体"/>
          <w:sz w:val="21"/>
          <w:szCs w:val="21"/>
        </w:rPr>
        <w:t xml:space="preserve">Shen, C. et al. Functional analysis of the oxygen-dependent degradation domain in HIF-2α.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Cell Rep.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19</w:t>
      </w:r>
      <w:r>
        <w:rPr>
          <w:rFonts w:hint="eastAsia" w:ascii="宋体" w:hAnsi="宋体" w:eastAsia="宋体" w:cs="宋体"/>
          <w:sz w:val="21"/>
          <w:szCs w:val="21"/>
        </w:rPr>
        <w:t>, 159–172 (2017).</w:t>
      </w:r>
    </w:p>
    <w:p w14:paraId="05552FB2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7.</w:t>
      </w:r>
      <w:r>
        <w:rPr>
          <w:rFonts w:hint="eastAsia" w:ascii="宋体" w:hAnsi="宋体" w:eastAsia="宋体" w:cs="宋体"/>
          <w:sz w:val="21"/>
          <w:szCs w:val="21"/>
        </w:rPr>
        <w:t xml:space="preserve">Kim, B. W. et al. Role of PAS-B domain in the conformational control of HIF-2α.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Structure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28</w:t>
      </w:r>
      <w:r>
        <w:rPr>
          <w:rFonts w:hint="eastAsia" w:ascii="宋体" w:hAnsi="宋体" w:eastAsia="宋体" w:cs="宋体"/>
          <w:sz w:val="21"/>
          <w:szCs w:val="21"/>
        </w:rPr>
        <w:t>, 1–12 (2020).</w:t>
      </w:r>
    </w:p>
    <w:p w14:paraId="0248A64B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8.</w:t>
      </w:r>
      <w:r>
        <w:rPr>
          <w:rFonts w:hint="eastAsia" w:ascii="宋体" w:hAnsi="宋体" w:eastAsia="宋体" w:cs="宋体"/>
          <w:sz w:val="21"/>
          <w:szCs w:val="21"/>
        </w:rPr>
        <w:t xml:space="preserve">Rankin, E. B. &amp; Giaccia, A. J. Hypoxic control of metastasis.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Science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352</w:t>
      </w:r>
      <w:r>
        <w:rPr>
          <w:rFonts w:hint="eastAsia" w:ascii="宋体" w:hAnsi="宋体" w:eastAsia="宋体" w:cs="宋体"/>
          <w:sz w:val="21"/>
          <w:szCs w:val="21"/>
        </w:rPr>
        <w:t>, 175–180 (2016).</w:t>
      </w:r>
    </w:p>
    <w:p w14:paraId="09B9A5E6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9.</w:t>
      </w:r>
      <w:r>
        <w:rPr>
          <w:rFonts w:hint="eastAsia" w:ascii="宋体" w:hAnsi="宋体" w:eastAsia="宋体" w:cs="宋体"/>
          <w:sz w:val="21"/>
          <w:szCs w:val="21"/>
        </w:rPr>
        <w:t xml:space="preserve">Loboda, A. et al. HIF signaling pathway and its regulators.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Int. J. Mol. Sci.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23</w:t>
      </w:r>
      <w:r>
        <w:rPr>
          <w:rFonts w:hint="eastAsia" w:ascii="宋体" w:hAnsi="宋体" w:eastAsia="宋体" w:cs="宋体"/>
          <w:sz w:val="21"/>
          <w:szCs w:val="21"/>
        </w:rPr>
        <w:t>, 378 (2022).</w:t>
      </w:r>
    </w:p>
    <w:p w14:paraId="1858658D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10.</w:t>
      </w:r>
      <w:r>
        <w:rPr>
          <w:rFonts w:hint="eastAsia" w:ascii="宋体" w:hAnsi="宋体" w:eastAsia="宋体" w:cs="宋体"/>
          <w:sz w:val="21"/>
          <w:szCs w:val="21"/>
        </w:rPr>
        <w:t xml:space="preserve">Soucy, T. A. et al. Pharmacologic targeting of the HIF-2α–ARNT interface.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Nat. Chem. Biol.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15</w:t>
      </w:r>
      <w:r>
        <w:rPr>
          <w:rFonts w:hint="eastAsia" w:ascii="宋体" w:hAnsi="宋体" w:eastAsia="宋体" w:cs="宋体"/>
          <w:sz w:val="21"/>
          <w:szCs w:val="21"/>
        </w:rPr>
        <w:t>, 357–366 (2019).</w:t>
      </w:r>
    </w:p>
    <w:p w14:paraId="71757AC6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11.</w:t>
      </w:r>
      <w:r>
        <w:rPr>
          <w:rFonts w:hint="eastAsia" w:ascii="宋体" w:hAnsi="宋体" w:eastAsia="宋体" w:cs="宋体"/>
          <w:sz w:val="21"/>
          <w:szCs w:val="21"/>
        </w:rPr>
        <w:t xml:space="preserve">Ye, Y. et al. Recombinant HIF proteins for functional and structural studies.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Biochem. J.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475</w:t>
      </w:r>
      <w:r>
        <w:rPr>
          <w:rFonts w:hint="eastAsia" w:ascii="宋体" w:hAnsi="宋体" w:eastAsia="宋体" w:cs="宋体"/>
          <w:sz w:val="21"/>
          <w:szCs w:val="21"/>
        </w:rPr>
        <w:t>, 3021–3034 (2018).</w:t>
      </w:r>
    </w:p>
    <w:p w14:paraId="01441CC6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12.</w:t>
      </w:r>
      <w:r>
        <w:rPr>
          <w:rFonts w:hint="eastAsia" w:ascii="宋体" w:hAnsi="宋体" w:eastAsia="宋体" w:cs="宋体"/>
          <w:sz w:val="21"/>
          <w:szCs w:val="21"/>
        </w:rPr>
        <w:t xml:space="preserve">Olcina, M. M. et al. HIF-2α: regulation and role in development.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Trends Cell Biol.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30</w:t>
      </w:r>
      <w:r>
        <w:rPr>
          <w:rFonts w:hint="eastAsia" w:ascii="宋体" w:hAnsi="宋体" w:eastAsia="宋体" w:cs="宋体"/>
          <w:sz w:val="21"/>
          <w:szCs w:val="21"/>
        </w:rPr>
        <w:t>, 807–820 (2020).</w:t>
      </w:r>
    </w:p>
    <w:p w14:paraId="63B77CF6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13.</w:t>
      </w:r>
      <w:r>
        <w:rPr>
          <w:rFonts w:hint="eastAsia" w:ascii="宋体" w:hAnsi="宋体" w:eastAsia="宋体" w:cs="宋体"/>
          <w:sz w:val="21"/>
          <w:szCs w:val="21"/>
        </w:rPr>
        <w:t xml:space="preserve">Wang, V. Y.-F. et al. Regulation of HIF-2α in the normoxic nucleus.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Nature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603</w:t>
      </w:r>
      <w:r>
        <w:rPr>
          <w:rFonts w:hint="eastAsia" w:ascii="宋体" w:hAnsi="宋体" w:eastAsia="宋体" w:cs="宋体"/>
          <w:sz w:val="21"/>
          <w:szCs w:val="21"/>
        </w:rPr>
        <w:t>, 111–117 (2022).</w:t>
      </w:r>
    </w:p>
    <w:p w14:paraId="75CC8DEA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14.</w:t>
      </w:r>
      <w:r>
        <w:rPr>
          <w:rFonts w:hint="eastAsia" w:ascii="宋体" w:hAnsi="宋体" w:eastAsia="宋体" w:cs="宋体"/>
          <w:sz w:val="21"/>
          <w:szCs w:val="21"/>
        </w:rPr>
        <w:t xml:space="preserve">Gordan, J. D. et al. HIF-2α promotes tumor cell proliferation by enhancing c-Myc activity.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Cancer Cell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11</w:t>
      </w:r>
      <w:r>
        <w:rPr>
          <w:rFonts w:hint="eastAsia" w:ascii="宋体" w:hAnsi="宋体" w:eastAsia="宋体" w:cs="宋体"/>
          <w:sz w:val="21"/>
          <w:szCs w:val="21"/>
        </w:rPr>
        <w:t>, 335–347 (2015).</w:t>
      </w:r>
    </w:p>
    <w:p w14:paraId="3548712E">
      <w:pPr>
        <w:pStyle w:val="6"/>
        <w:keepNext w:val="0"/>
        <w:keepLines w:val="0"/>
        <w:widowControl/>
        <w:suppressLineNumbers w:val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15.</w:t>
      </w:r>
      <w:r>
        <w:rPr>
          <w:rFonts w:hint="eastAsia" w:ascii="宋体" w:hAnsi="宋体" w:eastAsia="宋体" w:cs="宋体"/>
          <w:sz w:val="21"/>
          <w:szCs w:val="21"/>
        </w:rPr>
        <w:t xml:space="preserve">Lee, K. et al. Targeting hypoxia-inducible factors for therapy. </w:t>
      </w:r>
      <w:r>
        <w:rPr>
          <w:rStyle w:val="10"/>
          <w:rFonts w:hint="eastAsia" w:ascii="宋体" w:hAnsi="宋体" w:eastAsia="宋体" w:cs="宋体"/>
          <w:sz w:val="21"/>
          <w:szCs w:val="21"/>
        </w:rPr>
        <w:t>Nat. Rev. Drug Discov.</w:t>
      </w:r>
      <w:r>
        <w:rPr>
          <w:rFonts w:hint="eastAsia" w:ascii="宋体" w:hAnsi="宋体" w:eastAsia="宋体" w:cs="宋体"/>
          <w:sz w:val="21"/>
          <w:szCs w:val="21"/>
        </w:rPr>
        <w:t xml:space="preserve"> </w:t>
      </w:r>
      <w:r>
        <w:rPr>
          <w:rStyle w:val="9"/>
          <w:rFonts w:hint="eastAsia" w:ascii="宋体" w:hAnsi="宋体" w:eastAsia="宋体" w:cs="宋体"/>
          <w:sz w:val="21"/>
          <w:szCs w:val="21"/>
        </w:rPr>
        <w:t>22</w:t>
      </w:r>
      <w:r>
        <w:rPr>
          <w:rFonts w:hint="eastAsia" w:ascii="宋体" w:hAnsi="宋体" w:eastAsia="宋体" w:cs="宋体"/>
          <w:sz w:val="21"/>
          <w:szCs w:val="21"/>
        </w:rPr>
        <w:t>, 38–57 (2023).</w:t>
      </w:r>
    </w:p>
    <w:p w14:paraId="14F7F1D9">
      <w:pPr>
        <w:rPr>
          <w:rFonts w:hint="eastAsia"/>
        </w:rPr>
      </w:pPr>
    </w:p>
    <w:p w14:paraId="013B8E9D">
      <w:pPr>
        <w:rPr>
          <w:rFonts w:hint="eastAsia" w:ascii="宋体" w:hAnsi="宋体" w:eastAsia="宋体" w:cs="宋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F24CB"/>
    <w:rsid w:val="0E9B4C74"/>
    <w:rsid w:val="110C12EC"/>
    <w:rsid w:val="2F2B230B"/>
    <w:rsid w:val="51AD500C"/>
    <w:rsid w:val="5399211F"/>
    <w:rsid w:val="53E3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Calibri" w:hAnsi="Calibri" w:eastAsia="宋体"/>
      <w:b/>
      <w:bCs/>
      <w:kern w:val="32"/>
      <w:szCs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i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1819</Words>
  <Characters>3334</Characters>
  <Lines>0</Lines>
  <Paragraphs>0</Paragraphs>
  <TotalTime>22</TotalTime>
  <ScaleCrop>false</ScaleCrop>
  <LinksUpToDate>false</LinksUpToDate>
  <CharactersWithSpaces>3596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2023-06-09T08:24:00Z</dcterms:created>
  <dc:creator>admin</dc:creator>
  <cp:lastModifiedBy>随缘</cp:lastModifiedBy>
  <dcterms:modified xsi:type="dcterms:W3CDTF">2025-06-24T05:05:00Z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73CCF615755F4239A9047D9F2406E4E7_12</vt:lpwstr>
  </property>
  <property fmtid="{D5CDD505-2E9C-101B-9397-08002B2CF9AE}" pid="4" name="KSOTemplateDocerSaveRecord">
    <vt:lpwstr>eyJoZGlkIjoiMDY4NTMzZWI4Njg0MmQ3NzI1M2U4NDYzYzBlOWI5MTciLCJ1c2VySWQiOiI2MTc1NjQyNTUifQ==</vt:lpwstr>
  </property>
</Properties>
</file>