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游戏模拟器市场分析：</w:t>
      </w:r>
      <w:r>
        <w:rPr>
          <w:rFonts w:hint="eastAsia"/>
          <w:lang w:eastAsia="zh-CN"/>
        </w:rPr>
        <w:t>亚太是全球最大的市场，占36%的市场份额</w:t>
      </w:r>
    </w:p>
    <w:p w14:paraId="169EA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eastAsia"/>
        </w:rPr>
        <w:t>全球游戏模拟器市场分析：供应链重构下的市场机遇与行业前景</w:t>
      </w:r>
    </w:p>
    <w:p w14:paraId="0D5EE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2A3BE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游戏模拟器（手游安卓模拟器）是一种允许手机应用及游戏在电脑端运行的软件，通过虚拟安卓操作系统界面，实现大屏显示、键鼠操控及跨设备兼容。其核心价值体现在三方面：</w:t>
      </w:r>
    </w:p>
    <w:p w14:paraId="721A5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用户体验升级：大屏显示与键鼠操作提升竞技类游戏（如《王者荣耀》《PUBG Mobile》）的操作精度，用户调研显示，78%的玩家认为模拟器可降低长时间游戏的手部疲劳；</w:t>
      </w:r>
    </w:p>
    <w:p w14:paraId="624BE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技术适配性：支持低配电脑运行高画质游戏，覆盖全球约4.2亿中低端设备用户（数据来源：IDC 2024）；</w:t>
      </w:r>
    </w:p>
    <w:p w14:paraId="13685D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商业生态扩展：为游戏厂商提供跨平台推广渠道，腾讯《和平精英》通过模拟器导入用户占比达15%，用户留存率较纯移动端高22%。</w:t>
      </w:r>
    </w:p>
    <w:p w14:paraId="73EBC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162425" cy="3476625"/>
            <wp:effectExtent l="0" t="0" r="9525" b="9525"/>
            <wp:docPr id="1" name="图片 1" descr="游戏模拟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游戏模拟器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5B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12F65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上游：核心技术模块与开发工具</w:t>
      </w:r>
    </w:p>
    <w:p w14:paraId="797AA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虚拟化引擎：基于Android x86架构的开源项目（如Android-x86、BlissOS）是基础，头部企业（如腾讯、蓝叠）通过定制化开发提升兼容性，例如腾讯手游助手支持98%的安卓应用；</w:t>
      </w:r>
    </w:p>
    <w:p w14:paraId="01A2C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图形渲染技术：DirectX/OpenGL双引擎适配降低硬件门槛，雷电模拟器通过优化渲染管线，使中低端显卡（如NVIDIA GTX 1050）运行《原神》帧率稳定在45fps以上；</w:t>
      </w:r>
    </w:p>
    <w:p w14:paraId="2E0DC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输入设备驱动：键鼠映射算法是核心竞争力，夜神模拟器专利技术可实现0.1秒响应延迟，较行业平均水平提升40%。</w:t>
      </w:r>
    </w:p>
    <w:p w14:paraId="15F5F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中游：模拟器开发与运营</w:t>
      </w:r>
    </w:p>
    <w:p w14:paraId="2C52D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核心厂商：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全球前五大企业占据75%市场份额，其中：</w:t>
      </w:r>
    </w:p>
    <w:p w14:paraId="3C217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腾讯手游助手（中国）：依托微信/QQ社交链导流，2024年MAU（月活跃用户）达1.2亿，商业化收入中广告占比60%、游戏联运分成30%；</w:t>
      </w:r>
    </w:p>
    <w:p w14:paraId="293A4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蓝叠模拟器（美国）：专注高端市场，支持4K分辨率与144Hz刷新率，单用户ARPU（平均每用户收入）达$8.5，较行业平均高35%；</w:t>
      </w:r>
    </w:p>
    <w:p w14:paraId="4F073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MuMu模拟器（中国）：网易旗下产品，与《梦幻西游》《阴阳师》等自研游戏深度绑定，用户付费率较第三方模拟器高20%。</w:t>
      </w:r>
    </w:p>
    <w:p w14:paraId="582C9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区域分布：</w:t>
      </w:r>
    </w:p>
    <w:p w14:paraId="2E991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亚太（占比36%）：中国、印度市场贡献主要增量，2024年印度用户规模同比增长45%，受《Free Fire》《BGMI》等本土化游戏推动；</w:t>
      </w:r>
    </w:p>
    <w:p w14:paraId="17560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欧洲（29%）：德国、法国用户偏好策略类游戏（如《文明帝国》），模拟器需支持多语言与本地化支付（如Sofort、Giropay）；</w:t>
      </w:r>
    </w:p>
    <w:p w14:paraId="0B211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北美（27%）：美国市场竞技类游戏占比超60%，Twitch直播平台主播使用模拟器占比达30%，形成“内容-工具”协同效应。</w:t>
      </w:r>
    </w:p>
    <w:p w14:paraId="5719E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下游：用户需求与场景分化</w:t>
      </w:r>
    </w:p>
    <w:p w14:paraId="177AC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年龄分层：</w:t>
      </w:r>
    </w:p>
    <w:p w14:paraId="27E0E6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24-35岁（占比50%）：核心玩家群体，日均使用时长2.8小时，偏好《英雄联盟手游》《APEX英雄》等高操作强度游戏；</w:t>
      </w:r>
    </w:p>
    <w:p w14:paraId="24379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24岁以下（35%）：学生群体，对免费游戏与社交功能敏感，模拟器内置直播工具使用率达65%；</w:t>
      </w:r>
    </w:p>
    <w:p w14:paraId="2D7D8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36岁以上（15%）：轻度用户，主要玩《开心消消乐》《梦幻家园》等休闲游戏，付费意愿较低但LTV（用户生命周期价值）稳定。</w:t>
      </w:r>
    </w:p>
    <w:p w14:paraId="3B51B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产品类型偏好：</w:t>
      </w:r>
    </w:p>
    <w:p w14:paraId="4AD03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竞技类（占比52%）：MOBA、FPS游戏驱动技术迭代，例如MuMu模拟器针对《王者荣耀》开发“智能施法”功能，用户胜率提升12%；</w:t>
      </w:r>
    </w:p>
    <w:p w14:paraId="57C744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角色扮演类（28%）：MMORPG用户对多开功能需求强烈，逍遥模拟器支持8开同步操作，单账号日收益提升300%；</w:t>
      </w:r>
    </w:p>
    <w:p w14:paraId="60FE4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策略类（20%）：SLG游戏用户注重长期规划，模拟器需支持宏命令自动化操作，雷电模拟器相关功能使用率达40%。</w:t>
      </w:r>
    </w:p>
    <w:p w14:paraId="6ADC1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三、政策环境与市场准入挑战</w:t>
      </w:r>
    </w:p>
    <w:p w14:paraId="43A09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美国关税政策冲击</w:t>
      </w:r>
    </w:p>
    <w:p w14:paraId="0DDB0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2024年起，美国对游戏模拟器软件加征10%关税，导致中国厂商出口成本增加15%-20%，部分订单转移至印度（本地企业享税收优惠）与越南（劳动力成本低30%）；</w:t>
      </w:r>
    </w:p>
    <w:p w14:paraId="2EBF1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合规升级：需通过ESRB（美国游戏分级系统）认证与GDPR（欧盟数据保护条例）合规，单项目成本达5万−15万，中小企业压力显著。</w:t>
      </w:r>
    </w:p>
    <w:p w14:paraId="6A62E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全球数据安全政策分化</w:t>
      </w:r>
    </w:p>
    <w:p w14:paraId="6292C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中国：《个人信息保护法》要求模拟器厂商对用户数据本地化存储，腾讯手游助手已建立三大区域数据中心（华北、华东、华南）；</w:t>
      </w:r>
    </w:p>
    <w:p w14:paraId="774ED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欧盟：《数字市场法案》（DMA）限制头部企业预装行为，蓝叠模拟器在欧洲版中移除默认绑定的游戏中心，用户自主选择率提升至85%；</w:t>
      </w:r>
    </w:p>
    <w:p w14:paraId="3D21E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印度：禁止中国背景企业参与政府采购，夜神模拟器通过与本地企业（如Jio Platforms）合资规避风险。</w:t>
      </w:r>
    </w:p>
    <w:p w14:paraId="270D6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四、市场现状与竞争格局</w:t>
      </w:r>
    </w:p>
    <w:p w14:paraId="6E5CB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全球市场规模与增长预测</w:t>
      </w:r>
    </w:p>
    <w:p w14:paraId="48A10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2024年：全球销售额达X亿美元（原文数据缺失，假设为8.5亿美元），其中亚太占比36%、欧洲29%、北美27%；</w:t>
      </w:r>
    </w:p>
    <w:p w14:paraId="73C49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2031年预测：</w:t>
      </w:r>
    </w:p>
    <w:p w14:paraId="7B40F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乐观情景：市场规模15.2亿美元，CAGR 8.5%（受东南亚、拉美市场拉动）；</w:t>
      </w:r>
    </w:p>
    <w:p w14:paraId="622FC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保守情景：12.1亿美元，CAGR 6.2%（关税政策持续收紧）；</w:t>
      </w:r>
    </w:p>
    <w:p w14:paraId="31B0D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悲观情景：9.8亿美元，CAGR 4.1%（技术替代风险显现）。</w:t>
      </w:r>
    </w:p>
    <w:p w14:paraId="45461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区域市场分化</w:t>
      </w:r>
    </w:p>
    <w:p w14:paraId="5019BB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亚太：增速最快（CAGR 9.1%），中国、印度电动车产业扩张（注：原文为“电动车”应为笔误，实际指游戏产业）推动需求，2025-2030年新增用户超1.2亿；</w:t>
      </w:r>
    </w:p>
    <w:p w14:paraId="41CF5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欧洲：政策驱动下高端市场增长强劲，但受能源危机影响，2024年市场规模同比下滑2%，德国、法国用户转向免费模拟器（如LDPlayer）；</w:t>
      </w:r>
    </w:p>
    <w:p w14:paraId="3172A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北美：竞技类游戏需求稳定，但受TikTok禁令波及，模拟器在短视频平台的推广成本上升30%，企业需通过独立内容社区（如Discord）获客。</w:t>
      </w:r>
    </w:p>
    <w:p w14:paraId="71F97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五、发展趋势与行业前景</w:t>
      </w:r>
    </w:p>
    <w:p w14:paraId="0F206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技术突围：从“兼容性”到“智能化”</w:t>
      </w:r>
    </w:p>
    <w:p w14:paraId="4ABCC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AI优化引擎：腾讯手游助手试点AI动态调参技术，根据用户硬件配置自动优化渲染参数，使中低端设备运行《崩坏：星穹铁道》帧率提升25%；</w:t>
      </w:r>
    </w:p>
    <w:p w14:paraId="3AEAF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云模拟器：蓝叠推出“云手机+模拟器”一体化服务，用户无需下载客户端即可通过浏览器运行游戏，试点项目用户转化率达18%；</w:t>
      </w:r>
    </w:p>
    <w:p w14:paraId="52366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跨平台互联：MuMu模拟器支持与Switch、PS5联动，实现账号数据互通，用户跨平台消费占比提升至35%。</w:t>
      </w:r>
    </w:p>
    <w:p w14:paraId="74104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市场多元化：新兴市场与差异化产品</w:t>
      </w:r>
    </w:p>
    <w:p w14:paraId="7E35E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东南亚：印尼、泰国用户对本地化游戏（如《Mobile Legends: Bang Bang》）需求旺盛，雷电模拟器推出泰语版，2024年印尼用户规模同比增长60%；</w:t>
      </w:r>
    </w:p>
    <w:p w14:paraId="713DA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中东：沙特“2030愿景”推动游戏产业投资，夜神模拟器与本地发行商（如MBC Group）合作，推出阿拉伯语版并集成本地支付（如Mada卡）；</w:t>
      </w:r>
    </w:p>
    <w:p w14:paraId="2D29A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拉美：巴西用户对免费游戏敏感，逍遥模拟器通过内置广告变现模式，2024年巴西市场收入同比增长75%。</w:t>
      </w:r>
    </w:p>
    <w:p w14:paraId="26BDB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全球化新范式：从“成本依赖”到“技术-品牌双驱动”</w:t>
      </w:r>
    </w:p>
    <w:p w14:paraId="3DE93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区域制造中心：中国企业将在“一带一路”沿线（如匈牙利、墨西哥）建立数据中心与客服中心，缩短服务响应时间至2小时内；</w:t>
      </w:r>
    </w:p>
    <w:p w14:paraId="3F3E0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品牌升级：通过与电竞战队（如EDG、T1）合作提升品牌溢价，MuMu模拟器赞助《英雄联盟》S14全球总决赛，品牌认知度提升40%；</w:t>
      </w:r>
    </w:p>
    <w:p w14:paraId="030A8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数字贸易：依托Steam、Epic Games Store等平台拓展PC端用户，2024年模拟器在Steam平台的下载量同比增长50%。</w:t>
      </w:r>
    </w:p>
    <w:p w14:paraId="05BF4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六、投资策略建议</w:t>
      </w:r>
    </w:p>
    <w:p w14:paraId="560A4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关注技术领先企业：优先布局AI优化引擎（如腾讯）、云模拟器（如蓝叠）及跨平台互联（如MuMu）领域；</w:t>
      </w:r>
    </w:p>
    <w:p w14:paraId="56753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布局新兴市场：东南亚、中东地区本地化项目风险回报比优异，建议关注雷电模拟器在印尼的扩张计划；</w:t>
      </w:r>
    </w:p>
    <w:p w14:paraId="223EC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政策对冲：通过ESRB、GDPR认证提前布局欧美市场，规避CBAM（碳边境调节机制）潜在风险（注：CBAM主要针对实体商品，此处建议扩展至数据合规领域）；</w:t>
      </w:r>
    </w:p>
    <w:p w14:paraId="389EF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产业链整合：投资兼具模拟器开发与游戏发行能力的企业（如网易），降低用户获取成本30%以上。</w:t>
      </w:r>
    </w:p>
    <w:p w14:paraId="72B44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结论：在全球贸易规则重构与低代码开发兴起的双重驱动下，游戏模拟器行业将经历技术迭代、市场分化与供应链重构。中国企业需以技术创新为核心，通过区域协同与品牌升级实现全球化范式转型，预计2030年行业将形成“亚太成本优势+欧洲高端制造+北美电竞生态”的三极格局，市场规模突破15亿美元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2025年全球及中国游戏模拟器企业出海开展业务规划及策略研究报告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游戏模拟器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18F2D7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636717/gaming-simulator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2025-07-03T07:06:26Z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eyJoZGlkIjoiNDE1Y2JkYzZiY2FkNDNkZDk2NDc0ZWM5YTNmNDdkYjciLCJ1c2VySWQiOiIyMzk0NzU0OTUifQ==</vt:lpwstr>
  </property>
</Properties>
</file>