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7D8078">
      <w:pPr>
        <w:pStyle w:val="2"/>
        <w:bidi w:val="0"/>
      </w:pPr>
      <w:r>
        <w:rPr>
          <w:lang w:val="en-US" w:eastAsia="zh-CN"/>
        </w:rPr>
        <w:t>大型集团客服管理软件怎么选：</w:t>
      </w:r>
      <w:r>
        <w:rPr>
          <w:rFonts w:hint="eastAsia"/>
          <w:lang w:val="en-US" w:eastAsia="zh-CN"/>
        </w:rPr>
        <w:t>企业</w:t>
      </w:r>
      <w:r>
        <w:rPr>
          <w:lang w:val="en-US" w:eastAsia="zh-CN"/>
        </w:rPr>
        <w:t>如何统一上下游客户服务标准？</w:t>
      </w:r>
    </w:p>
    <w:p w14:paraId="6A1800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bookmarkStart w:id="0" w:name="_GoBack"/>
      <w:r>
        <w:rPr>
          <w:rFonts w:hint="eastAsia" w:ascii="黑体" w:hAnsi="黑体" w:eastAsia="黑体" w:cs="黑体"/>
        </w:rPr>
        <w:t>在数字化经济时代，大型集团的业务版图往往横跨多个区域、覆盖多条产品线，其客户群体不仅包括终端消费者，还涵盖上游供应商、下游经销商等合作伙伴。这种复杂的业务结构使得客户服务呈现出“多触点、多层级、多主体”的特点，而统一上下游客户服务标准成为集团提升整体服务质量、增强客户粘性、降低运营成本的核心命题。本文将从大型集团客服管理的核心痛点出发，提炼软件选型的要点，并对市场上主流的五款客服管理软件进行对比，最终给出贴合集团需求的选型策略。</w:t>
      </w:r>
    </w:p>
    <w:p w14:paraId="459B65BC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一、大型集团客服管理的核心痛点</w:t>
      </w:r>
    </w:p>
    <w:p w14:paraId="2D4B55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1. 服务触点碎片化，客户体验割裂：</w:t>
      </w:r>
      <w:r>
        <w:rPr>
          <w:rFonts w:hint="eastAsia" w:ascii="黑体" w:hAnsi="黑体" w:eastAsia="黑体" w:cs="黑体"/>
        </w:rPr>
        <w:t>集团旗下子品牌、分公司可能各自使用不同的客服工具，终端客户通过</w:t>
      </w:r>
      <w:r>
        <w:rPr>
          <w:rFonts w:hint="eastAsia" w:ascii="黑体" w:hAnsi="黑体" w:eastAsia="黑体" w:cs="黑体"/>
          <w:lang w:val="en-US" w:eastAsia="zh-CN"/>
        </w:rPr>
        <w:t>不同</w:t>
      </w:r>
      <w:r>
        <w:rPr>
          <w:rFonts w:hint="eastAsia" w:ascii="黑体" w:hAnsi="黑体" w:eastAsia="黑体" w:cs="黑体"/>
        </w:rPr>
        <w:t>渠道咨询时，需重复提供信息；上游下游经销商反馈售后问题时，也需对接不同接口，导致“同一家集团，不同服务体验”的现象。</w:t>
      </w:r>
    </w:p>
    <w:p w14:paraId="686A76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2. 数据孤岛严重，服务决策盲目：</w:t>
      </w:r>
      <w:r>
        <w:rPr>
          <w:rFonts w:hint="eastAsia" w:ascii="黑体" w:hAnsi="黑体" w:eastAsia="黑体" w:cs="黑体"/>
        </w:rPr>
        <w:t>客户咨询数据、订单数据、供应链数据分散在各业务系统中，客服人员无法获取客户的“360度视图”，难以精准预判需求；管理层也无法通过数据洞察上下游服务瓶颈，导致服务优化缺乏数据支撑。</w:t>
      </w:r>
    </w:p>
    <w:p w14:paraId="6C4855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3. 服务流程不统一，运营成本高企：</w:t>
      </w:r>
      <w:r>
        <w:rPr>
          <w:rFonts w:hint="eastAsia" w:ascii="黑体" w:hAnsi="黑体" w:eastAsia="黑体" w:cs="黑体"/>
        </w:rPr>
        <w:t>不同业务线的客服流程、应答规范、工单处理机制存在差异，新员工培训周期长；跨部门、跨层级协作时，因流程不透明导致工单流转效率低，重复劳动率高，大幅增加了运营成本。</w:t>
      </w:r>
    </w:p>
    <w:p w14:paraId="762C10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4. 风险管控难度大，合规性存隐患：</w:t>
      </w:r>
      <w:r>
        <w:rPr>
          <w:rFonts w:hint="eastAsia" w:ascii="黑体" w:hAnsi="黑体" w:eastAsia="黑体" w:cs="黑体"/>
        </w:rPr>
        <w:t>大型集团涉及特殊行业时，需满足行业合规要求。若客服软件缺乏统一的数据加密、日志留存、权限管控功能，易出现客户信息泄露、服务记录不全等合规风险。</w:t>
      </w:r>
    </w:p>
    <w:p w14:paraId="519863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因此，统一上下游客户服务标准的本质，是通过标准化的工具、流程和数据，实现“服务体验一致化、运营管理高效化、决策支撑数据化、风险管控合规化”。而客服管理软件正是实现这一目标的核心载体。</w:t>
      </w:r>
    </w:p>
    <w:p w14:paraId="271CA667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二、大型集团客服管理软件选型的七大核心维度</w:t>
      </w:r>
    </w:p>
    <w:p w14:paraId="3012F20E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（一）多渠道整合能力——实现“全触点服务统一接入”</w:t>
      </w:r>
    </w:p>
    <w:p w14:paraId="6E5350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1. 终端客户渠道：</w:t>
      </w:r>
      <w:r>
        <w:rPr>
          <w:rFonts w:hint="eastAsia" w:ascii="黑体" w:hAnsi="黑体" w:eastAsia="黑体" w:cs="黑体"/>
        </w:rPr>
        <w:t>覆盖APP、小程序、公众号、抖音、电话、短信、邮件、网页在线客服等常见渠道，确保客户可通过任意渠道发起咨询，且对话记录同步至统一后台。</w:t>
      </w:r>
    </w:p>
    <w:p w14:paraId="7DCC65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2. 上下游伙伴渠道：</w:t>
      </w:r>
      <w:r>
        <w:rPr>
          <w:rFonts w:hint="eastAsia" w:ascii="黑体" w:hAnsi="黑体" w:eastAsia="黑体" w:cs="黑体"/>
        </w:rPr>
        <w:t>支持供应商/经销商专属服务入口，实现订单查询、售后报备、库存咨询等场景的快速响应。</w:t>
      </w:r>
    </w:p>
    <w:p w14:paraId="60AAC2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3. 渠道协同能力：</w:t>
      </w:r>
      <w:r>
        <w:rPr>
          <w:rFonts w:hint="eastAsia" w:ascii="黑体" w:hAnsi="黑体" w:eastAsia="黑体" w:cs="黑体"/>
        </w:rPr>
        <w:t>支持“跨渠道转接”、“渠道优先级设置”。</w:t>
      </w:r>
    </w:p>
    <w:p w14:paraId="2327D07E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（二）客户数据管理（CDP）能力——构建“上下游客户统一视图”</w:t>
      </w:r>
    </w:p>
    <w:p w14:paraId="1C60B0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1. 客户画像整合：</w:t>
      </w:r>
      <w:r>
        <w:rPr>
          <w:rFonts w:hint="eastAsia" w:ascii="黑体" w:hAnsi="黑体" w:eastAsia="黑体" w:cs="黑体"/>
        </w:rPr>
        <w:t>可自动整合客户的基本信息、交易记录、服务历史、行为数据，形成360度客户画像。</w:t>
      </w:r>
    </w:p>
    <w:p w14:paraId="0723BC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2. 上下游数据打通：</w:t>
      </w:r>
      <w:r>
        <w:rPr>
          <w:rFonts w:hint="eastAsia" w:ascii="黑体" w:hAnsi="黑体" w:eastAsia="黑体" w:cs="黑体"/>
        </w:rPr>
        <w:t>支持与集团ERP、CRM、SCM等系统对接，将供应商的供货周期、经销商的销售数据纳入客服数据体系，使客服人员在响应时能结合供应链状态给出精准答复。</w:t>
      </w:r>
    </w:p>
    <w:p w14:paraId="792AD1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3. 数据标签与分层：</w:t>
      </w:r>
      <w:r>
        <w:rPr>
          <w:rFonts w:hint="eastAsia" w:ascii="黑体" w:hAnsi="黑体" w:eastAsia="黑体" w:cs="黑体"/>
        </w:rPr>
        <w:t>支持自定义标签体系，便于按客户类型制定差异化服务策略。</w:t>
      </w:r>
    </w:p>
    <w:p w14:paraId="157C81EF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（三）智能化服务能力——提升“标准化服务效率与精准度”</w:t>
      </w:r>
    </w:p>
    <w:p w14:paraId="50D4397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1. 智能知识库（SOP）：</w:t>
      </w:r>
      <w:r>
        <w:rPr>
          <w:rFonts w:hint="eastAsia" w:ascii="黑体" w:hAnsi="黑体" w:eastAsia="黑体" w:cs="黑体"/>
        </w:rPr>
        <w:t>支持构建集团级统一知识库，涵盖产品知识、服务流程、常见问题（FAQ）、上下游协作规范等内容，客服人员可通过关键词快速检索答案，确保应答口径一致。</w:t>
      </w:r>
    </w:p>
    <w:p w14:paraId="584C93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2. 智能客服机器人：</w:t>
      </w:r>
      <w:r>
        <w:rPr>
          <w:rFonts w:hint="eastAsia" w:ascii="黑体" w:hAnsi="黑体" w:eastAsia="黑体" w:cs="黑体"/>
        </w:rPr>
        <w:t>具备多轮对话、意图识别能力，可自动处理</w:t>
      </w:r>
      <w:r>
        <w:rPr>
          <w:rFonts w:hint="eastAsia" w:ascii="黑体" w:hAnsi="黑体" w:eastAsia="黑体" w:cs="黑体"/>
          <w:lang w:val="en-US" w:eastAsia="zh-CN"/>
        </w:rPr>
        <w:t>大部分</w:t>
      </w:r>
      <w:r>
        <w:rPr>
          <w:rFonts w:hint="eastAsia" w:ascii="黑体" w:hAnsi="黑体" w:eastAsia="黑体" w:cs="黑体"/>
        </w:rPr>
        <w:t>标准化咨询，减轻人工坐席压力；同时支持“机器人转人工”无缝衔接，确保复杂问题得到专业处理。</w:t>
      </w:r>
    </w:p>
    <w:p w14:paraId="62AB5D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3. 工单智能分配与流转：</w:t>
      </w:r>
      <w:r>
        <w:rPr>
          <w:rFonts w:hint="eastAsia" w:ascii="黑体" w:hAnsi="黑体" w:eastAsia="黑体" w:cs="黑体"/>
        </w:rPr>
        <w:t>基于客户类型、问题类型、坐席技能标签自动分配工单，支持跨部门工单流转，并设置工单超时提醒，确保服务时效标准统一。</w:t>
      </w:r>
    </w:p>
    <w:p w14:paraId="323223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4. 语音语义分析：</w:t>
      </w:r>
      <w:r>
        <w:rPr>
          <w:rFonts w:hint="eastAsia" w:ascii="黑体" w:hAnsi="黑体" w:eastAsia="黑体" w:cs="黑体"/>
        </w:rPr>
        <w:t>对电话客服录音、在线对话内容进行语义分析，自动提取客户需求、投诉热点、服务话术，为服务标准优化提供数据支撑。</w:t>
      </w:r>
    </w:p>
    <w:p w14:paraId="0DF5215C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（四）权限与流程管控能力——保障“服务标准落地执行”</w:t>
      </w:r>
    </w:p>
    <w:p w14:paraId="10313D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</w:t>
      </w:r>
      <w:r>
        <w:rPr>
          <w:rFonts w:hint="eastAsia" w:ascii="黑体" w:hAnsi="黑体" w:eastAsia="黑体" w:cs="黑体"/>
          <w:b/>
          <w:bCs/>
        </w:rPr>
        <w:t xml:space="preserve"> 多层级权限管理：</w:t>
      </w:r>
      <w:r>
        <w:rPr>
          <w:rFonts w:hint="eastAsia" w:ascii="黑体" w:hAnsi="黑体" w:eastAsia="黑体" w:cs="黑体"/>
        </w:rPr>
        <w:t>支持按“集团-子公司-部门-岗位”设置权限，防止数据泄露。</w:t>
      </w:r>
    </w:p>
    <w:p w14:paraId="19D3B4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</w:t>
      </w:r>
      <w:r>
        <w:rPr>
          <w:rFonts w:hint="eastAsia" w:ascii="黑体" w:hAnsi="黑体" w:eastAsia="黑体" w:cs="黑体"/>
          <w:b/>
          <w:bCs/>
        </w:rPr>
        <w:t xml:space="preserve"> 服务流程自定义：</w:t>
      </w:r>
      <w:r>
        <w:rPr>
          <w:rFonts w:hint="eastAsia" w:ascii="黑体" w:hAnsi="黑体" w:eastAsia="黑体" w:cs="黑体"/>
        </w:rPr>
        <w:t>支持可视化流程编辑器，可根据不同业务场景自定义工单流程、审批节点、应答模板，确保各环节服务标准统一。</w:t>
      </w:r>
    </w:p>
    <w:p w14:paraId="75404F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</w:t>
      </w:r>
      <w:r>
        <w:rPr>
          <w:rFonts w:hint="eastAsia" w:ascii="黑体" w:hAnsi="黑体" w:eastAsia="黑体" w:cs="黑体"/>
          <w:b/>
          <w:bCs/>
        </w:rPr>
        <w:t xml:space="preserve"> 服务质量监控：</w:t>
      </w:r>
      <w:r>
        <w:rPr>
          <w:rFonts w:hint="eastAsia" w:ascii="黑体" w:hAnsi="黑体" w:eastAsia="黑体" w:cs="黑体"/>
        </w:rPr>
        <w:t>支持实时监控坐席在线状态、对话响应时长、工单处理进度，可设置服务质量指标，并自动生成监控报表，便于管理层及时干预。</w:t>
      </w:r>
    </w:p>
    <w:p w14:paraId="1486437E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（五）集成与扩展性——适配“集团业务动态发展”</w:t>
      </w:r>
    </w:p>
    <w:p w14:paraId="378FD7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</w:t>
      </w:r>
      <w:r>
        <w:rPr>
          <w:rFonts w:hint="eastAsia" w:ascii="黑体" w:hAnsi="黑体" w:eastAsia="黑体" w:cs="黑体"/>
          <w:b/>
          <w:bCs/>
        </w:rPr>
        <w:t xml:space="preserve"> 开放API接口：</w:t>
      </w:r>
      <w:r>
        <w:rPr>
          <w:rFonts w:hint="eastAsia" w:ascii="黑体" w:hAnsi="黑体" w:eastAsia="黑体" w:cs="黑体"/>
        </w:rPr>
        <w:t>提供丰富的API接口，可与集团现有系统无缝对接，同时支持对接第三方工具。</w:t>
      </w:r>
    </w:p>
    <w:p w14:paraId="2CD643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</w:t>
      </w:r>
      <w:r>
        <w:rPr>
          <w:rFonts w:hint="eastAsia" w:ascii="黑体" w:hAnsi="黑体" w:eastAsia="黑体" w:cs="黑体"/>
          <w:b/>
          <w:bCs/>
        </w:rPr>
        <w:t xml:space="preserve"> 多租户架构支持：</w:t>
      </w:r>
      <w:r>
        <w:rPr>
          <w:rFonts w:hint="eastAsia" w:ascii="黑体" w:hAnsi="黑体" w:eastAsia="黑体" w:cs="黑体"/>
        </w:rPr>
        <w:t>若集团旗下有多个独立品牌或业务线，软件需支持多租户架构，确保各租户可在统一平台上独立配置服务流程、知识库，同时集团层面可实现数据汇总与管控。</w:t>
      </w:r>
    </w:p>
    <w:p w14:paraId="74E211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</w:t>
      </w:r>
      <w:r>
        <w:rPr>
          <w:rFonts w:hint="eastAsia" w:ascii="黑体" w:hAnsi="黑体" w:eastAsia="黑体" w:cs="黑体"/>
          <w:b/>
          <w:bCs/>
        </w:rPr>
        <w:t xml:space="preserve"> 性能扩展性：</w:t>
      </w:r>
      <w:r>
        <w:rPr>
          <w:rFonts w:hint="eastAsia" w:ascii="黑体" w:hAnsi="黑体" w:eastAsia="黑体" w:cs="黑体"/>
        </w:rPr>
        <w:t>支持坐席数量、并发对话量的弹性扩展，避免卡顿或崩溃。</w:t>
      </w:r>
    </w:p>
    <w:p w14:paraId="6D1C5509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（六）安全与合规能力——规避“服务数据风险”</w:t>
      </w:r>
    </w:p>
    <w:p w14:paraId="7449D4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</w:t>
      </w:r>
      <w:r>
        <w:rPr>
          <w:rFonts w:hint="eastAsia" w:ascii="黑体" w:hAnsi="黑体" w:eastAsia="黑体" w:cs="黑体"/>
          <w:b/>
          <w:bCs/>
        </w:rPr>
        <w:t xml:space="preserve"> 数据安全保障：</w:t>
      </w:r>
      <w:r>
        <w:rPr>
          <w:rFonts w:hint="eastAsia" w:ascii="黑体" w:hAnsi="黑体" w:eastAsia="黑体" w:cs="黑体"/>
        </w:rPr>
        <w:t>具备数据加密存储、访问日志留存、数据备份与恢复功能，符合法规要求。</w:t>
      </w:r>
    </w:p>
    <w:p w14:paraId="78E494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</w:t>
      </w:r>
      <w:r>
        <w:rPr>
          <w:rFonts w:hint="eastAsia" w:ascii="黑体" w:hAnsi="黑体" w:eastAsia="黑体" w:cs="黑体"/>
          <w:b/>
          <w:bCs/>
        </w:rPr>
        <w:t xml:space="preserve"> 行业合规适配：</w:t>
      </w:r>
      <w:r>
        <w:rPr>
          <w:rFonts w:hint="eastAsia" w:ascii="黑体" w:hAnsi="黑体" w:eastAsia="黑体" w:cs="黑体"/>
        </w:rPr>
        <w:t>若集团涉及</w:t>
      </w:r>
      <w:r>
        <w:rPr>
          <w:rFonts w:hint="eastAsia" w:ascii="黑体" w:hAnsi="黑体" w:eastAsia="黑体" w:cs="黑体"/>
          <w:lang w:val="en-US" w:eastAsia="zh-CN"/>
        </w:rPr>
        <w:t>特殊</w:t>
      </w:r>
      <w:r>
        <w:rPr>
          <w:rFonts w:hint="eastAsia" w:ascii="黑体" w:hAnsi="黑体" w:eastAsia="黑体" w:cs="黑体"/>
        </w:rPr>
        <w:t>行业，软件需具备相应的合规认证。</w:t>
      </w:r>
    </w:p>
    <w:p w14:paraId="1BDDBF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</w:t>
      </w:r>
      <w:r>
        <w:rPr>
          <w:rFonts w:hint="eastAsia" w:ascii="黑体" w:hAnsi="黑体" w:eastAsia="黑体" w:cs="黑体"/>
          <w:b/>
          <w:bCs/>
        </w:rPr>
        <w:t xml:space="preserve"> 隐私保护功能：</w:t>
      </w:r>
      <w:r>
        <w:rPr>
          <w:rFonts w:hint="eastAsia" w:ascii="黑体" w:hAnsi="黑体" w:eastAsia="黑体" w:cs="黑体"/>
        </w:rPr>
        <w:t>支持客户信息脱敏、对话内容审计、数据访问权限审计，防止客户隐私泄露。</w:t>
      </w:r>
    </w:p>
    <w:p w14:paraId="060F1042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（七）成本与ROI——实现“服务投入效益最大化”</w:t>
      </w:r>
    </w:p>
    <w:p w14:paraId="390672D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</w:t>
      </w:r>
      <w:r>
        <w:rPr>
          <w:rFonts w:hint="eastAsia" w:ascii="黑体" w:hAnsi="黑体" w:eastAsia="黑体" w:cs="黑体"/>
          <w:b/>
          <w:bCs/>
        </w:rPr>
        <w:t xml:space="preserve"> 定价模式：</w:t>
      </w:r>
      <w:r>
        <w:rPr>
          <w:rFonts w:hint="eastAsia" w:ascii="黑体" w:hAnsi="黑体" w:eastAsia="黑体" w:cs="黑体"/>
        </w:rPr>
        <w:t>了解软件的定价方式，对比不同厂商的单价与套餐内容。</w:t>
      </w:r>
    </w:p>
    <w:p w14:paraId="3C1C21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 实施成本：</w:t>
      </w:r>
      <w:r>
        <w:rPr>
          <w:rFonts w:hint="eastAsia" w:ascii="黑体" w:hAnsi="黑体" w:eastAsia="黑体" w:cs="黑体"/>
        </w:rPr>
        <w:t>包括系统部署、数据迁移、员工培训、定制化开发等成本。</w:t>
      </w:r>
    </w:p>
    <w:p w14:paraId="30F212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 ROI测算：</w:t>
      </w:r>
      <w:r>
        <w:rPr>
          <w:rFonts w:hint="eastAsia" w:ascii="黑体" w:hAnsi="黑体" w:eastAsia="黑体" w:cs="黑体"/>
        </w:rPr>
        <w:t>通过“智能化降本（机器人替代人工坐席数量×人均成本）+效率提升（工单处理时长缩短比例×日均工单量×坐席时薪）+客户留存提升（服务满意度提升比例×客户生命周期价值）”等指标，测算软件的投资回报率。</w:t>
      </w:r>
    </w:p>
    <w:p w14:paraId="2573AAD2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三、五款主流客服管理软件深度对比分析</w:t>
      </w:r>
    </w:p>
    <w:p w14:paraId="79EE161C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（一）睦客邻</w:t>
      </w:r>
    </w:p>
    <w:p w14:paraId="6F5812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 基本情况</w:t>
      </w:r>
    </w:p>
    <w:p w14:paraId="0D6653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睦客邻是专注于“供应链协同+客户服务”一体化的客服管理软件，核心优势在于打通集团上下游业务数据，实现供应商、经销商与终端客户的服务协同。其客户群体以制造业、快消品等具有复杂供应链体系的大型集团为主。</w:t>
      </w:r>
    </w:p>
    <w:p w14:paraId="36F93F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 核心优势</w:t>
      </w:r>
    </w:p>
    <w:p w14:paraId="7F1D5A4B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供应链服务协同能力突出：可深度对接ERP、SCM系统，支持供应商通过专属门户提交供货问题、经销商查询库存与订单进度，客服人员可实时调取供应链数据，给出“业务+服务”一体化答复。</w:t>
      </w:r>
    </w:p>
    <w:p w14:paraId="3FF42BB0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多租户架构成熟：支持集团旗下多品牌、多业务线独立运营，各租户可自定义服务流程与知识库，集团层面可实现数据汇总分析，满足“分散运营+集中管控”的需求。</w:t>
      </w:r>
    </w:p>
    <w:p w14:paraId="25BA9568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工单流程可视化配置：提供拖拽式工单流程编辑器，非技术人员也可快速配置跨部门协作流程，支持设置“供应商-集团-经销商”三级工单流转，确保上下游问题闭环处理。</w:t>
      </w:r>
    </w:p>
    <w:p w14:paraId="25A130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 适用场景</w:t>
      </w:r>
    </w:p>
    <w:p w14:paraId="0C0A82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制造业大型集团、快消品分销企业等需重点打通上下游服务协同的场景；对多租户架构、供应链数据整合有强需求的集团。</w:t>
      </w:r>
    </w:p>
    <w:p w14:paraId="154D4FAB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（二）网易七鱼</w:t>
      </w:r>
    </w:p>
    <w:p w14:paraId="0E36CF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 基本情况</w:t>
      </w:r>
    </w:p>
    <w:p w14:paraId="5932EB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依托网易的技术积累，在智能化、多渠道整合方面表现突出，客户涵盖电商、金融、教育等多个行业的大型企业。</w:t>
      </w:r>
    </w:p>
    <w:p w14:paraId="5E1488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 核心优势</w:t>
      </w:r>
    </w:p>
    <w:p w14:paraId="106C9411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智能化能力领先：智能机器人支持多轮对话、意图识别准确率高，可处理复杂的标准化咨询；同时具备“机器人学习闭环”，可通过人工坐席修正不断优化应答能力。</w:t>
      </w:r>
    </w:p>
    <w:p w14:paraId="0731F4F1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多渠道整合全面：支持20+主流渠道接入，跨渠道对话记录同步率高，终端客户体验流畅。</w:t>
      </w:r>
    </w:p>
    <w:p w14:paraId="0615B3FF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生态整合能力强：可与网易旗下产品无缝对接，同时支持与</w:t>
      </w:r>
      <w:r>
        <w:rPr>
          <w:rFonts w:hint="eastAsia" w:ascii="黑体" w:hAnsi="黑体" w:eastAsia="黑体" w:cs="黑体"/>
          <w:lang w:val="en-US" w:eastAsia="zh-CN"/>
        </w:rPr>
        <w:t>多种</w:t>
      </w:r>
      <w:r>
        <w:rPr>
          <w:rFonts w:hint="eastAsia" w:ascii="黑体" w:hAnsi="黑体" w:eastAsia="黑体" w:cs="黑体"/>
        </w:rPr>
        <w:t>办公软件集成，便于客服团队内部协作。</w:t>
      </w:r>
    </w:p>
    <w:p w14:paraId="156AD3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 适用场景</w:t>
      </w:r>
    </w:p>
    <w:p w14:paraId="39C59E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电商、金融等终端客户咨询量大的大型集团；对智能化客服、多渠道整合有高需求的企业。</w:t>
      </w:r>
    </w:p>
    <w:p w14:paraId="45A1D2E5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（三）智齿科技</w:t>
      </w:r>
    </w:p>
    <w:p w14:paraId="636B38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 基本情况</w:t>
      </w:r>
    </w:p>
    <w:p w14:paraId="7DD9EC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智齿科技是国内较早布局智能客服的企业之一，产品线涵盖智能客服、在线客服、电话客服、工单系统等，客户以互联网、零售行业为主。</w:t>
      </w:r>
    </w:p>
    <w:p w14:paraId="683213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 核心优势</w:t>
      </w:r>
    </w:p>
    <w:p w14:paraId="0AF0F54D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产品功能全面：覆盖“咨询-工单-知识库-数据分析”全流程，支持自定义报表，可满足集团对服务数据的多维度分析需求。</w:t>
      </w:r>
    </w:p>
    <w:p w14:paraId="1CFDE518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性价比高：定价更为亲民，基础功能模块丰富，适合预算中等但需全面功能的大型集团。</w:t>
      </w:r>
    </w:p>
    <w:p w14:paraId="12A68146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本地化服务支持好：在全国多个城市设有服务团队，可提供快速的上门实施与培训服务。</w:t>
      </w:r>
    </w:p>
    <w:p w14:paraId="2F9545D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 适用场景</w:t>
      </w:r>
    </w:p>
    <w:p w14:paraId="422D1F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零售、互联网等对客服功能全面性有需求，但预算有限的大型集团；需要本地化实施与培训支持的企业。</w:t>
      </w:r>
    </w:p>
    <w:p w14:paraId="675B358D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（四）美洽</w:t>
      </w:r>
    </w:p>
    <w:p w14:paraId="3231EE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 基本情况</w:t>
      </w:r>
    </w:p>
    <w:p w14:paraId="3E69C9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美洽是专注于“在线客服+客户关系管理”的软件品牌，以“轻量化、易上手”为特点，客户涵盖中小企业与部分大型企业，在教育、医疗行业有较高的市场份额。</w:t>
      </w:r>
    </w:p>
    <w:p w14:paraId="7450D29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 核心优势</w:t>
      </w:r>
    </w:p>
    <w:p w14:paraId="795DFE15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界面简洁易用：后台操作界面直观，新员工培训周期短，适合集团旗下子公司客服团队快速落地使用。</w:t>
      </w:r>
    </w:p>
    <w:p w14:paraId="70DBE2D9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客户关系管理整合好：可直接在客服对话中创建客户档案、添加跟进记录，实现“客服-销售”数据联动，适合有客户转化需求的集团。</w:t>
      </w:r>
    </w:p>
    <w:p w14:paraId="2B0AF4B7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移动办公支持好：手机APP功能完善，客服人员可随时随地处理工单与对话，适合需要移动办公的场景。</w:t>
      </w:r>
    </w:p>
    <w:p w14:paraId="7F893A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 适用场景</w:t>
      </w:r>
    </w:p>
    <w:p w14:paraId="1BA0D9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教育、医疗等有客户转化需求的大型集团；对软件易用性、移动办公有高需求的企业。</w:t>
      </w:r>
    </w:p>
    <w:p w14:paraId="38B15650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（五）容联七陌</w:t>
      </w:r>
    </w:p>
    <w:p w14:paraId="070005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 基本情况</w:t>
      </w:r>
    </w:p>
    <w:p w14:paraId="7C14E44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依托容联云的通信技术优势，在电话客服、全渠道整合方面表现突出，客户涵盖金融、企业服务等行业的大型企业。</w:t>
      </w:r>
    </w:p>
    <w:p w14:paraId="398E6B1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 核心优势</w:t>
      </w:r>
    </w:p>
    <w:p w14:paraId="0AAB3AFF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电话客服能力强大：支持智能IVR导航、来电号码归属地识别、通话录音实时转文字、电话工单自动创建，适合电话咨询量较大的集团。</w:t>
      </w:r>
    </w:p>
    <w:p w14:paraId="683CFC62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全渠道数据整合能力强：可将电话、在线客服、社交媒体等渠道的数据汇总至统一数据平台，支持自定义数据看板，管理层可实时监控全渠道服务状态。</w:t>
      </w:r>
    </w:p>
    <w:p w14:paraId="5DA65738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ind w:left="420" w:leftChars="0" w:hanging="420" w:firstLineChars="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安全合规性高：通过等保三级认证，具备完善的数据加密、日志留存功能，适合对合规性要求严格的集团。</w:t>
      </w:r>
    </w:p>
    <w:p w14:paraId="5B209E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 适用场景</w:t>
      </w:r>
    </w:p>
    <w:p w14:paraId="652BE7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金融、企业服务等电话咨询量大、合规性要求高的大型集团；对全渠道数据整合有强需求的企业。</w:t>
      </w:r>
    </w:p>
    <w:p w14:paraId="57C5141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四、大型集团客服管理软件选型实战策略</w:t>
      </w:r>
    </w:p>
    <w:p w14:paraId="7ACA02CF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（一）明确“核心需求优先级”</w:t>
      </w:r>
    </w:p>
    <w:p w14:paraId="230891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集团需组织业务部门明确核心需求优先级。例如：</w:t>
      </w:r>
    </w:p>
    <w:p w14:paraId="104C46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 制造业集团：</w:t>
      </w:r>
      <w:r>
        <w:rPr>
          <w:rFonts w:hint="eastAsia" w:ascii="黑体" w:hAnsi="黑体" w:eastAsia="黑体" w:cs="黑体"/>
        </w:rPr>
        <w:t>优先排序“供应链协同＞多租户管控＞数据整合＞智能化”</w:t>
      </w:r>
    </w:p>
    <w:p w14:paraId="422457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 电商集团：</w:t>
      </w:r>
      <w:r>
        <w:rPr>
          <w:rFonts w:hint="eastAsia" w:ascii="黑体" w:hAnsi="黑体" w:eastAsia="黑体" w:cs="黑体"/>
        </w:rPr>
        <w:t>优先排序“多渠道整合＞智能化＞数据整合＞成本”</w:t>
      </w:r>
    </w:p>
    <w:p w14:paraId="699E9F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 金融集团：</w:t>
      </w:r>
      <w:r>
        <w:rPr>
          <w:rFonts w:hint="eastAsia" w:ascii="黑体" w:hAnsi="黑体" w:eastAsia="黑体" w:cs="黑体"/>
        </w:rPr>
        <w:t>优先排序“安全合规＞电话客服＞数据整合＞智能化”</w:t>
      </w:r>
    </w:p>
    <w:p w14:paraId="684262B7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（二）开展“场景化测试”</w:t>
      </w:r>
    </w:p>
    <w:p w14:paraId="6F56CD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模拟集团真实服务场景，验证软件的实际表现。例如：</w:t>
      </w:r>
    </w:p>
    <w:p w14:paraId="5BE55D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 终端客户场景：</w:t>
      </w:r>
      <w:r>
        <w:rPr>
          <w:rFonts w:hint="eastAsia" w:ascii="黑体" w:hAnsi="黑体" w:eastAsia="黑体" w:cs="黑体"/>
        </w:rPr>
        <w:t>模拟客户从微信咨询产品售后，转至电话客服，再生成工单分配至技术部门的全流程，测试跨渠道协同与工单流转效率。</w:t>
      </w:r>
    </w:p>
    <w:p w14:paraId="724F41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 供应商场景：</w:t>
      </w:r>
      <w:r>
        <w:rPr>
          <w:rFonts w:hint="eastAsia" w:ascii="黑体" w:hAnsi="黑体" w:eastAsia="黑体" w:cs="黑体"/>
        </w:rPr>
        <w:t>模拟供应商通过门户提交供货延迟问题，测试系统是否能自动调取ERP数据，并生成协同工单。</w:t>
      </w:r>
    </w:p>
    <w:p w14:paraId="1E5B5B8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 数据分析场景：</w:t>
      </w:r>
      <w:r>
        <w:rPr>
          <w:rFonts w:hint="eastAsia" w:ascii="黑体" w:hAnsi="黑体" w:eastAsia="黑体" w:cs="黑体"/>
        </w:rPr>
        <w:t>测试软件是否能生成“各子公司服务满意度排名”“上下游问题TOP5”等集团级报表。</w:t>
      </w:r>
    </w:p>
    <w:p w14:paraId="6254184C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（三）测算“全周期成本”</w:t>
      </w:r>
    </w:p>
    <w:p w14:paraId="2E0503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除了软件 license 费用，还需测算实施成本、运维成本（服务器、人员培训、厂商服务费）、升级成本，避免“低价入坑，高价维护”。</w:t>
      </w:r>
    </w:p>
    <w:p w14:paraId="68114A28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（四）评估“供应商长期服务能力”</w:t>
      </w:r>
    </w:p>
    <w:p w14:paraId="65B55E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客服软件需长期陪伴集团业务发展，供应商的服务能力至关重要。需评估：</w:t>
      </w:r>
    </w:p>
    <w:p w14:paraId="57B1AF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1. 技术研发实力：</w:t>
      </w:r>
      <w:r>
        <w:rPr>
          <w:rFonts w:hint="eastAsia" w:ascii="黑体" w:hAnsi="黑体" w:eastAsia="黑体" w:cs="黑体"/>
        </w:rPr>
        <w:t>是否有持续的功能迭代计划，能否响应集团的定制化需求。</w:t>
      </w:r>
    </w:p>
    <w:p w14:paraId="46A86B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2. 售后服务团队：</w:t>
      </w:r>
      <w:r>
        <w:rPr>
          <w:rFonts w:hint="eastAsia" w:ascii="黑体" w:hAnsi="黑体" w:eastAsia="黑体" w:cs="黑体"/>
        </w:rPr>
        <w:t>是否有专属客户经理，问题响应时效如何。</w:t>
      </w:r>
    </w:p>
    <w:p w14:paraId="20E08A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3. 行业案例：</w:t>
      </w:r>
      <w:r>
        <w:rPr>
          <w:rFonts w:hint="eastAsia" w:ascii="黑体" w:hAnsi="黑体" w:eastAsia="黑体" w:cs="黑体"/>
        </w:rPr>
        <w:t>是否有同行业大型集团的成功案例，案例的落地效果如何。</w:t>
      </w:r>
    </w:p>
    <w:p w14:paraId="55DC916D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五、总结</w:t>
      </w:r>
    </w:p>
    <w:p w14:paraId="65EEF7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大型集团选择客服管理软件，本质是选择一套“上下游客户服务标准化解决方案”。集团需跳出“功能越多越好”的误区，从自身业务战略出发，以“统一上下游服务标准”为核心目标，结合需求优先级、场景化测试、成本测算、供应商能力评估，选择最适合自己的软件。最终，通过软件工具实现“服务体验一致化、运营管理高效化、决策支撑数据化、风险管控合规化”，为集团的长期发展奠定坚实的服务基础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BAFD4F"/>
    <w:multiLevelType w:val="singleLevel"/>
    <w:tmpl w:val="1FBAFD4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31D05"/>
    <w:rsid w:val="08B42D4B"/>
    <w:rsid w:val="0FE64614"/>
    <w:rsid w:val="4BB87F0C"/>
    <w:rsid w:val="5125662C"/>
    <w:rsid w:val="7D3B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5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2025-09-29T08:51:17Z</dcterms:created>
  <dc:creator>Administrator</dc:creator>
  <cp:lastModifiedBy>候鸟</cp:lastModifiedBy>
  <dcterms:modified xsi:type="dcterms:W3CDTF">2025-09-29T09:16:01Z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eyJoZGlkIjoiNzEwMmU5ZjNkMzlkN2YwMmE3NWJmNjg5M2M4MDlmY2IiLCJ1c2VySWQiOiI0NTM0ODc4MDgifQ==</vt:lpwstr>
  </property>
  <property fmtid="{D5CDD505-2E9C-101B-9397-08002B2CF9AE}" pid="4" name="ICV">
    <vt:lpwstr>C8B455484254484FB723D96A3EAAFF97_12</vt:lpwstr>
  </property>
</Properties>
</file>