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8"/>
        <w:rPr>
          <w:lang w:eastAsia="zh-CN"/>
        </w:rPr>
      </w:pPr>
      <w:bookmarkStart w:id="19" w:name="_GoBack"/>
      <w:bookmarkStart w:id="0" w:name="_Toc517262917"/>
      <w:bookmarkStart w:id="1" w:name="_Toc453597319"/>
      <w:bookmarkStart w:id="2" w:name="_Toc438987549"/>
      <w:bookmarkStart w:id="3" w:name="_Toc481801204"/>
      <w:bookmarkStart w:id="4" w:name="OLE_LINK15"/>
      <w:bookmarkStart w:id="5" w:name="_Toc415818939"/>
      <w:bookmarkStart w:id="6" w:name="_Toc418070112"/>
      <w:bookmarkStart w:id="7" w:name="_Toc415143481"/>
      <w:bookmarkStart w:id="8" w:name="_Toc415142861"/>
      <w:bookmarkStart w:id="9" w:name="OLE_LINK40"/>
      <w:bookmarkStart w:id="10" w:name="OLE_LINK13"/>
      <w:bookmarkStart w:id="11" w:name="OLE_LINK39"/>
      <w:bookmarkStart w:id="12" w:name="OLE_LINK24"/>
      <w:r>
        <w:rPr>
          <w:lang w:eastAsia="zh-CN"/>
        </w:rPr>
        <w:t>2-氨基苯并噁唑</w:t>
      </w:r>
      <w:r>
        <w:rPr>
          <w:rFonts w:hint="eastAsia"/>
          <w:lang w:eastAsia="zh-CN"/>
        </w:rPr>
        <w:t>全球市场总体规模</w:t>
      </w:r>
    </w:p>
    <w:bookmarkEnd w:id="19"/>
    <w:p>
      <w:pPr>
        <w:pStyle w:val="146"/>
        <w:rPr>
          <w:lang w:eastAsia="zh-CN"/>
        </w:rPr>
      </w:pPr>
      <w:r>
        <w:rPr>
          <w:rFonts w:hint="eastAsia"/>
          <w:lang w:eastAsia="zh-CN"/>
        </w:rPr>
        <w:t>2-氨基苯并</w:t>
      </w:r>
      <w:r>
        <w:rPr>
          <w:lang w:eastAsia="zh-CN"/>
        </w:rPr>
        <w:t>噁唑</w:t>
      </w:r>
      <w:r>
        <w:rPr>
          <w:rFonts w:hint="eastAsia"/>
          <w:lang w:eastAsia="zh-CN"/>
        </w:rPr>
        <w:t>，分子式C7H6N2O，CAS号4570-41-6，是一种经常用作有机合成中间体的有机化合物。</w:t>
      </w:r>
    </w:p>
    <w:p>
      <w:pPr>
        <w:pStyle w:val="149"/>
        <w:rPr>
          <w:lang w:eastAsia="zh-CN"/>
        </w:rPr>
      </w:pPr>
      <w:r>
        <w:t>2-氨基苯并噁唑</w:t>
      </w:r>
      <w:r>
        <w:rPr>
          <w:rFonts w:hint="eastAsia"/>
          <w:lang w:eastAsia="zh-CN"/>
        </w:rPr>
        <w:t>产品图片</w:t>
      </w:r>
    </w:p>
    <w:p>
      <w:pPr>
        <w:pStyle w:val="146"/>
        <w:rPr>
          <w:lang w:eastAsia="zh-CN"/>
        </w:rPr>
      </w:pPr>
      <w:r>
        <w:rPr>
          <w:lang w:val="en-US" w:eastAsia="zh-CN"/>
        </w:rPr>
        <w:drawing>
          <wp:inline distT="0" distB="0" distL="0" distR="0">
            <wp:extent cx="2012315" cy="828675"/>
            <wp:effectExtent l="0" t="0" r="6985"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023655" cy="833269"/>
                    </a:xfrm>
                    <a:prstGeom prst="rect">
                      <a:avLst/>
                    </a:prstGeom>
                    <a:noFill/>
                  </pic:spPr>
                </pic:pic>
              </a:graphicData>
            </a:graphic>
          </wp:inline>
        </w:drawing>
      </w:r>
    </w:p>
    <w:p>
      <w:pPr>
        <w:pStyle w:val="144"/>
        <w:rPr>
          <w:lang w:eastAsia="zh-CN"/>
        </w:rPr>
      </w:pPr>
      <w:r>
        <w:rPr>
          <w:rFonts w:hint="eastAsia"/>
          <w:lang w:eastAsia="zh-CN"/>
        </w:rPr>
        <w:t>如上图表/数据，摘自QYResearch最新报告“全球</w:t>
      </w:r>
      <w:r>
        <w:rPr>
          <w:lang w:eastAsia="zh-CN"/>
        </w:rPr>
        <w:t>2-氨基苯并噁唑</w:t>
      </w:r>
      <w:r>
        <w:rPr>
          <w:rFonts w:hint="eastAsia"/>
          <w:lang w:eastAsia="zh-CN"/>
        </w:rPr>
        <w:t>市场研究报告2023-2029</w:t>
      </w:r>
      <w:r>
        <w:rPr>
          <w:lang w:eastAsia="zh-CN"/>
        </w:rPr>
        <w:t>.</w:t>
      </w:r>
    </w:p>
    <w:p>
      <w:pPr>
        <w:pStyle w:val="146"/>
        <w:rPr>
          <w:lang w:eastAsia="zh-CN"/>
        </w:rPr>
      </w:pPr>
    </w:p>
    <w:p>
      <w:pPr>
        <w:pStyle w:val="146"/>
        <w:rPr>
          <w:lang w:eastAsia="zh-CN"/>
        </w:rPr>
      </w:pPr>
      <w:r>
        <w:rPr>
          <w:rFonts w:hint="eastAsia"/>
          <w:lang w:eastAsia="zh-CN"/>
        </w:rPr>
        <w:t>据QYResearch调研团队最新报告“全球2-氨基苯并噁唑市场报告2023-2029”显示，预计2029年全球2-氨基苯并噁唑市场规模将达到10.6亿美元，未来几年年复合增长率CAGR为3.6%。</w:t>
      </w:r>
    </w:p>
    <w:p>
      <w:pPr>
        <w:pStyle w:val="146"/>
        <w:rPr>
          <w:lang w:eastAsia="zh-CN"/>
        </w:rPr>
      </w:pPr>
    </w:p>
    <w:p>
      <w:pPr>
        <w:pStyle w:val="149"/>
        <w:rPr>
          <w:lang w:eastAsia="zh-CN"/>
        </w:rPr>
      </w:pPr>
      <w:r>
        <w:rPr>
          <w:lang w:eastAsia="zh-CN"/>
        </w:rPr>
        <w:t>2-氨基苯并噁唑</w:t>
      </w:r>
      <w:r>
        <w:rPr>
          <w:rFonts w:hint="eastAsia"/>
          <w:lang w:eastAsia="zh-CN"/>
        </w:rPr>
        <w:t>，全球市场总体规模</w:t>
      </w:r>
    </w:p>
    <w:p>
      <w:pPr>
        <w:pStyle w:val="146"/>
      </w:pPr>
      <w:r>
        <w:rPr>
          <w:lang w:val="en-US" w:eastAsia="zh-CN"/>
        </w:rPr>
        <w:drawing>
          <wp:inline distT="0" distB="0" distL="0" distR="0">
            <wp:extent cx="6443980" cy="306070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443980" cy="3060700"/>
                    </a:xfrm>
                    <a:prstGeom prst="rect">
                      <a:avLst/>
                    </a:prstGeom>
                    <a:noFill/>
                  </pic:spPr>
                </pic:pic>
              </a:graphicData>
            </a:graphic>
          </wp:inline>
        </w:drawing>
      </w:r>
    </w:p>
    <w:p>
      <w:pPr>
        <w:pStyle w:val="144"/>
      </w:pPr>
      <w:r>
        <w:rPr>
          <w:rFonts w:hint="eastAsia"/>
          <w:lang w:eastAsia="zh-CN"/>
        </w:rPr>
        <w:t>如上图表/数据，摘自QYResearch最新报告“</w:t>
      </w:r>
      <w:r>
        <w:rPr>
          <w:rFonts w:hint="eastAsia"/>
        </w:rPr>
        <w:t>全球</w:t>
      </w:r>
      <w:r>
        <w:t>2-氨基苯并噁唑</w:t>
      </w:r>
      <w:r>
        <w:rPr>
          <w:rFonts w:hint="eastAsia"/>
        </w:rPr>
        <w:t>市场研究报告2023-2029</w:t>
      </w:r>
      <w:r>
        <w:t>.</w:t>
      </w:r>
    </w:p>
    <w:p>
      <w:pPr>
        <w:pStyle w:val="146"/>
        <w:rPr>
          <w:lang w:eastAsia="zh-CN"/>
        </w:rPr>
      </w:pPr>
    </w:p>
    <w:p>
      <w:pPr>
        <w:pStyle w:val="149"/>
        <w:rPr>
          <w:lang w:eastAsia="zh-CN"/>
        </w:rPr>
      </w:pPr>
      <w:r>
        <w:rPr>
          <w:rFonts w:hint="eastAsia"/>
          <w:lang w:eastAsia="zh-CN"/>
        </w:rPr>
        <w:t>全球</w:t>
      </w:r>
      <w:r>
        <w:rPr>
          <w:lang w:eastAsia="zh-CN"/>
        </w:rPr>
        <w:t>2-氨基苯并噁唑</w:t>
      </w:r>
      <w:r>
        <w:rPr>
          <w:rFonts w:hint="eastAsia"/>
          <w:lang w:eastAsia="zh-CN"/>
        </w:rPr>
        <w:t>市场前6强生产商排名及市场占有率（基于2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4871085" cy="4401820"/>
            <wp:effectExtent l="0" t="0" r="571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871085" cy="4401820"/>
                    </a:xfrm>
                    <a:prstGeom prst="rect">
                      <a:avLst/>
                    </a:prstGeom>
                    <a:noFill/>
                  </pic:spPr>
                </pic:pic>
              </a:graphicData>
            </a:graphic>
          </wp:inline>
        </w:drawing>
      </w:r>
    </w:p>
    <w:p>
      <w:pPr>
        <w:pStyle w:val="144"/>
        <w:rPr>
          <w:lang w:eastAsia="zh-CN"/>
        </w:rPr>
      </w:pPr>
      <w:r>
        <w:rPr>
          <w:rFonts w:hint="eastAsia"/>
          <w:lang w:eastAsia="zh-CN"/>
        </w:rPr>
        <w:t>如上图表/数据，摘自QYResearch报告“全球</w:t>
      </w:r>
      <w:r>
        <w:rPr>
          <w:lang w:eastAsia="zh-CN"/>
        </w:rPr>
        <w:t>2-氨基苯并噁唑</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6"/>
        <w:rPr>
          <w:lang w:eastAsia="zh-CN"/>
        </w:rPr>
      </w:pPr>
      <w:r>
        <w:rPr>
          <w:rFonts w:hint="eastAsia"/>
          <w:lang w:eastAsia="zh-CN"/>
        </w:rPr>
        <w:t>根据QYResearch头部企业研究中心调研，全球范围内2-氨基苯并噁唑生产商主要包括华腾制药、Molcore、CATO、武汉欣扬瑞和化学科技有限公司等。2022年，全球前三大厂商占有大约64.0%的市场份额。</w:t>
      </w:r>
    </w:p>
    <w:p>
      <w:pPr>
        <w:pStyle w:val="146"/>
      </w:pPr>
    </w:p>
    <w:p>
      <w:pPr>
        <w:pStyle w:val="149"/>
        <w:rPr>
          <w:lang w:eastAsia="zh-CN"/>
        </w:rPr>
      </w:pPr>
      <w:r>
        <w:rPr>
          <w:lang w:eastAsia="zh-CN"/>
        </w:rPr>
        <w:t>2-氨基苯并噁唑</w:t>
      </w:r>
      <w:r>
        <w:rPr>
          <w:rFonts w:hint="eastAsia"/>
          <w:lang w:eastAsia="zh-CN"/>
        </w:rPr>
        <w:t>，全球市场规模，按产品类型细分，95%-98%处于主导地位</w:t>
      </w:r>
    </w:p>
    <w:p>
      <w:pPr>
        <w:pStyle w:val="146"/>
        <w:rPr>
          <w:lang w:eastAsia="zh-CN"/>
        </w:rPr>
      </w:pPr>
      <w:r>
        <w:rPr>
          <w:lang w:val="en-US" w:eastAsia="zh-CN"/>
        </w:rPr>
        <w:drawing>
          <wp:inline distT="0" distB="0" distL="0" distR="0">
            <wp:extent cx="6240145" cy="3200400"/>
            <wp:effectExtent l="0" t="0" r="825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a:stretch>
                      <a:fillRect/>
                    </a:stretch>
                  </pic:blipFill>
                  <pic:spPr>
                    <a:xfrm>
                      <a:off x="0" y="0"/>
                      <a:ext cx="6255328" cy="3208028"/>
                    </a:xfrm>
                    <a:prstGeom prst="rect">
                      <a:avLst/>
                    </a:prstGeom>
                  </pic:spPr>
                </pic:pic>
              </a:graphicData>
            </a:graphic>
          </wp:inline>
        </w:drawing>
      </w:r>
    </w:p>
    <w:p>
      <w:pPr>
        <w:pStyle w:val="146"/>
        <w:rPr>
          <w:lang w:eastAsia="zh-CN"/>
        </w:rPr>
      </w:pPr>
      <w:r>
        <w:rPr>
          <w:lang w:val="en-US" w:eastAsia="zh-CN"/>
        </w:rPr>
        <w:drawing>
          <wp:inline distT="0" distB="0" distL="0" distR="0">
            <wp:extent cx="5996305" cy="3125470"/>
            <wp:effectExtent l="0" t="0" r="4445"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4"/>
        <w:rPr>
          <w:lang w:eastAsia="zh-CN"/>
        </w:rPr>
      </w:pPr>
      <w:r>
        <w:rPr>
          <w:rFonts w:hint="eastAsia"/>
          <w:lang w:eastAsia="zh-CN"/>
        </w:rPr>
        <w:t>如上图表/数据，摘自QYResearch最新报告“全球</w:t>
      </w:r>
      <w:r>
        <w:rPr>
          <w:lang w:eastAsia="zh-CN"/>
        </w:rPr>
        <w:t>2-氨基苯并噁唑</w:t>
      </w:r>
      <w:r>
        <w:rPr>
          <w:rFonts w:hint="eastAsia"/>
          <w:lang w:eastAsia="zh-CN"/>
        </w:rPr>
        <w:t>市场研究报告2023-2029</w:t>
      </w:r>
      <w:r>
        <w:rPr>
          <w:lang w:eastAsia="zh-CN"/>
        </w:rPr>
        <w:t>.</w:t>
      </w:r>
    </w:p>
    <w:p>
      <w:pPr>
        <w:pStyle w:val="146"/>
        <w:rPr>
          <w:lang w:eastAsia="zh-CN"/>
        </w:rPr>
      </w:pPr>
      <w:r>
        <w:rPr>
          <w:rFonts w:hint="eastAsia"/>
          <w:lang w:eastAsia="zh-CN"/>
        </w:rPr>
        <w:t>就产品类型而言，目前95%-98%是最主要的细分产品，占据大约84.6%的份额。</w:t>
      </w:r>
    </w:p>
    <w:p>
      <w:pPr>
        <w:pStyle w:val="146"/>
        <w:rPr>
          <w:lang w:eastAsia="zh-CN"/>
        </w:rPr>
      </w:pPr>
    </w:p>
    <w:p>
      <w:pPr>
        <w:pStyle w:val="149"/>
        <w:rPr>
          <w:lang w:eastAsia="zh-CN"/>
        </w:rPr>
      </w:pPr>
      <w:r>
        <w:rPr>
          <w:lang w:eastAsia="zh-CN"/>
        </w:rPr>
        <w:t>2-氨基苯并噁唑</w:t>
      </w:r>
      <w:r>
        <w:rPr>
          <w:rFonts w:hint="eastAsia"/>
          <w:lang w:eastAsia="zh-CN"/>
        </w:rPr>
        <w:t>，全球销量市场规模，按应用细分，制药是最大的下游市场，占有</w:t>
      </w:r>
      <w:r>
        <w:rPr>
          <w:lang w:eastAsia="zh-CN"/>
        </w:rPr>
        <w:t>95.2%</w:t>
      </w:r>
      <w:r>
        <w:rPr>
          <w:rFonts w:hint="eastAsia"/>
          <w:lang w:eastAsia="zh-CN"/>
        </w:rPr>
        <w:t>份额。</w:t>
      </w:r>
    </w:p>
    <w:p>
      <w:pPr>
        <w:pStyle w:val="146"/>
      </w:pPr>
      <w:r>
        <w:rPr>
          <w:lang w:val="en-US" w:eastAsia="zh-CN"/>
        </w:rPr>
        <w:drawing>
          <wp:inline distT="0" distB="0" distL="0" distR="0">
            <wp:extent cx="6280785" cy="3040380"/>
            <wp:effectExtent l="0" t="0" r="5715"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a:stretch>
                      <a:fillRect/>
                    </a:stretch>
                  </pic:blipFill>
                  <pic:spPr>
                    <a:xfrm>
                      <a:off x="0" y="0"/>
                      <a:ext cx="6281011" cy="3040911"/>
                    </a:xfrm>
                    <a:prstGeom prst="rect">
                      <a:avLst/>
                    </a:prstGeom>
                  </pic:spPr>
                </pic:pic>
              </a:graphicData>
            </a:graphic>
          </wp:inline>
        </w:drawing>
      </w:r>
    </w:p>
    <w:p>
      <w:pPr>
        <w:pStyle w:val="146"/>
      </w:pPr>
      <w:r>
        <w:rPr>
          <w:lang w:val="en-US" w:eastAsia="zh-CN"/>
        </w:rPr>
        <w:drawing>
          <wp:inline distT="0" distB="0" distL="0" distR="0">
            <wp:extent cx="6145530" cy="3561715"/>
            <wp:effectExtent l="0" t="0" r="7620" b="63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44"/>
        <w:rPr>
          <w:lang w:eastAsia="zh-CN"/>
        </w:rPr>
      </w:pPr>
      <w:r>
        <w:rPr>
          <w:rFonts w:hint="eastAsia"/>
          <w:lang w:eastAsia="zh-CN"/>
        </w:rPr>
        <w:t>如上图表/数据，摘自QYResearch最新报告“全球</w:t>
      </w:r>
      <w:r>
        <w:rPr>
          <w:lang w:eastAsia="zh-CN"/>
        </w:rPr>
        <w:t>2-氨基苯并噁唑</w:t>
      </w:r>
      <w:r>
        <w:rPr>
          <w:rFonts w:hint="eastAsia"/>
          <w:lang w:eastAsia="zh-CN"/>
        </w:rPr>
        <w:t>市场研究报告2023-2029</w:t>
      </w:r>
      <w:r>
        <w:rPr>
          <w:lang w:eastAsia="zh-CN"/>
        </w:rPr>
        <w:t>.</w:t>
      </w:r>
    </w:p>
    <w:p>
      <w:pPr>
        <w:pStyle w:val="146"/>
        <w:rPr>
          <w:lang w:eastAsia="zh-CN"/>
        </w:rPr>
      </w:pPr>
      <w:r>
        <w:rPr>
          <w:rFonts w:hint="eastAsia"/>
          <w:lang w:eastAsia="zh-CN"/>
        </w:rPr>
        <w:t>就产品应用而言，目前制药是最主要的需求来源，占据大约95.2%的销量市场份额。</w:t>
      </w:r>
    </w:p>
    <w:p>
      <w:pPr>
        <w:pStyle w:val="146"/>
        <w:rPr>
          <w:lang w:eastAsia="zh-CN"/>
        </w:rPr>
      </w:pPr>
    </w:p>
    <w:p>
      <w:pPr>
        <w:pStyle w:val="149"/>
        <w:rPr>
          <w:lang w:eastAsia="zh-CN"/>
        </w:rPr>
      </w:pPr>
      <w:r>
        <w:rPr>
          <w:rFonts w:hint="eastAsia"/>
          <w:lang w:eastAsia="zh-CN"/>
        </w:rPr>
        <w:t>全球主要市场</w:t>
      </w:r>
      <w:r>
        <w:rPr>
          <w:lang w:eastAsia="zh-CN"/>
        </w:rPr>
        <w:t>2-氨基苯并噁唑</w:t>
      </w:r>
      <w:r>
        <w:rPr>
          <w:rFonts w:hint="eastAsia"/>
          <w:lang w:eastAsia="zh-CN"/>
        </w:rPr>
        <w:t>规模</w:t>
      </w:r>
    </w:p>
    <w:p>
      <w:pPr>
        <w:pStyle w:val="146"/>
        <w:rPr>
          <w:lang w:val="en-US" w:eastAsia="zh-CN"/>
        </w:rPr>
      </w:pPr>
      <w:r>
        <w:rPr>
          <w:lang w:val="en-US" w:eastAsia="zh-CN"/>
        </w:rPr>
        <w:drawing>
          <wp:inline distT="0" distB="0" distL="0" distR="0">
            <wp:extent cx="6198235" cy="3657600"/>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146"/>
        <w:rPr>
          <w:lang w:val="en-US" w:eastAsia="zh-CN"/>
        </w:rPr>
      </w:pPr>
      <w:r>
        <w:rPr>
          <w:lang w:val="en-US" w:eastAsia="zh-CN"/>
        </w:rPr>
        <w:drawing>
          <wp:inline distT="0" distB="0" distL="0" distR="0">
            <wp:extent cx="5953760" cy="3263900"/>
            <wp:effectExtent l="0" t="0" r="889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pStyle w:val="144"/>
        <w:rPr>
          <w:lang w:eastAsia="zh-CN"/>
        </w:rPr>
      </w:pPr>
      <w:r>
        <w:rPr>
          <w:rFonts w:hint="eastAsia"/>
          <w:lang w:eastAsia="zh-CN"/>
        </w:rPr>
        <w:t>如上图表/数据，摘自QYResearch最新报告“</w:t>
      </w:r>
      <w:r>
        <w:rPr>
          <w:rFonts w:hint="eastAsia"/>
        </w:rPr>
        <w:t>全球</w:t>
      </w:r>
      <w:r>
        <w:t>2-氨基苯并噁唑</w:t>
      </w:r>
      <w:r>
        <w:rPr>
          <w:rFonts w:hint="eastAsia"/>
        </w:rPr>
        <w:t>市场研究报告2023-2029</w:t>
      </w:r>
      <w:r>
        <w:t>.</w:t>
      </w:r>
      <w:bookmarkEnd w:id="0"/>
      <w:bookmarkEnd w:id="1"/>
      <w:bookmarkEnd w:id="2"/>
      <w:bookmarkEnd w:id="3"/>
      <w:bookmarkEnd w:id="4"/>
      <w:bookmarkEnd w:id="5"/>
      <w:bookmarkEnd w:id="6"/>
      <w:bookmarkEnd w:id="7"/>
      <w:bookmarkEnd w:id="8"/>
      <w:bookmarkEnd w:id="9"/>
      <w:bookmarkEnd w:id="10"/>
      <w:bookmarkEnd w:id="11"/>
      <w:bookmarkEnd w:id="12"/>
    </w:p>
    <w:p>
      <w:pPr>
        <w:pStyle w:val="146"/>
        <w:rPr>
          <w:lang w:eastAsia="zh-CN"/>
        </w:rPr>
      </w:pPr>
      <w:r>
        <w:rPr>
          <w:lang w:eastAsia="zh-CN"/>
        </w:rPr>
        <w:br w:type="page"/>
      </w:r>
    </w:p>
    <w:p>
      <w:pPr>
        <w:pStyle w:val="168"/>
        <w:rPr>
          <w:lang w:eastAsia="zh-CN"/>
        </w:rPr>
      </w:pPr>
      <w:r>
        <w:rPr>
          <w:lang w:eastAsia="zh-CN"/>
        </w:rPr>
        <w:t>QYResearch</w:t>
      </w:r>
      <w:r>
        <w:rPr>
          <w:rFonts w:hint="eastAsia"/>
          <w:lang w:eastAsia="zh-CN"/>
        </w:rPr>
        <w:t>企业简介</w:t>
      </w:r>
    </w:p>
    <w:p>
      <w:r>
        <w:t>恒州博智</w:t>
      </w:r>
      <w:r>
        <w:rPr>
          <w:rFonts w:hint="eastAsia"/>
        </w:rPr>
        <w:t>（</w:t>
      </w:r>
      <w:r>
        <w:t>QYResearch</w:t>
      </w:r>
      <w:r>
        <w:rPr>
          <w:rFonts w:hint="eastAsia"/>
        </w:rPr>
        <w:t>）调研团队最新发布的</w:t>
      </w:r>
      <w:r>
        <w:rPr>
          <w:rFonts w:hint="eastAsia"/>
          <w:b w:val="0"/>
          <w:bCs w:val="0"/>
          <w:color w:val="0000FF"/>
          <w:lang w:eastAsia="zh-CN"/>
        </w:rPr>
        <w:t>2-氨基苯并噁唑</w:t>
      </w:r>
      <w:r>
        <w:rPr>
          <w:rFonts w:hint="eastAsia"/>
          <w:color w:val="0000FF"/>
        </w:rPr>
        <w:t>行业研究报告</w:t>
      </w:r>
      <w:r>
        <w:rPr>
          <w:rFonts w:hint="eastAsia"/>
        </w:rPr>
        <w:t>，</w:t>
      </w:r>
      <w:r>
        <w:t>本文侧重研究全球</w:t>
      </w:r>
      <w:r>
        <w:rPr>
          <w:rFonts w:hint="eastAsia"/>
          <w:b w:val="0"/>
          <w:bCs w:val="0"/>
          <w:lang w:eastAsia="zh-CN"/>
        </w:rPr>
        <w:t>2-氨基苯并噁唑</w:t>
      </w:r>
      <w:r>
        <w:t>总体规模及主要厂商占有率和排名，主要统计指标包括</w:t>
      </w:r>
      <w:r>
        <w:rPr>
          <w:rFonts w:hint="eastAsia"/>
          <w:b w:val="0"/>
          <w:bCs w:val="0"/>
          <w:lang w:eastAsia="zh-CN"/>
        </w:rPr>
        <w:t>2-氨基苯并噁唑</w:t>
      </w:r>
      <w:r>
        <w:t>产能、销量、销售收入、价格、市场份额及排名等，企业数据主要侧重近三年行业内主要厂商的市场销售情况。地区层面，主要分析过去五年和未来五年行业内主要生产地区和主要消费地区的规模及趋势。</w:t>
      </w:r>
    </w:p>
    <w:p>
      <w:pPr>
        <w:pStyle w:val="7"/>
      </w:pPr>
      <w:r>
        <w:rPr>
          <w:rFonts w:hint="eastAsia"/>
          <w:b w:val="0"/>
          <w:bCs w:val="0"/>
          <w:lang w:eastAsia="zh-CN"/>
        </w:rPr>
        <w:t>2-氨基苯并噁唑</w:t>
      </w:r>
      <w:r>
        <w:rPr>
          <w:rFonts w:hint="eastAsia"/>
        </w:rPr>
        <w:t>报告主要研究内容以下几点：</w:t>
      </w:r>
    </w:p>
    <w:p>
      <w:r>
        <w:t>第1章：报告统计范围、所属行业、产品细分及主要的下游市场，行业现状及进入壁垒等</w:t>
      </w:r>
    </w:p>
    <w:p>
      <w:r>
        <w:t>第2章：国内外主要企业市场占有率及排名</w:t>
      </w:r>
    </w:p>
    <w:p>
      <w:r>
        <w:t>第3章：全球总体规模（产能、产量、销量、需求量、销售收入等数据，2019-2030年）</w:t>
      </w:r>
    </w:p>
    <w:p>
      <w:r>
        <w:t>第4章：全球</w:t>
      </w:r>
      <w:r>
        <w:rPr>
          <w:rFonts w:hint="eastAsia"/>
          <w:b w:val="0"/>
          <w:bCs w:val="0"/>
          <w:lang w:eastAsia="zh-CN"/>
        </w:rPr>
        <w:t>2-氨基苯并噁唑</w:t>
      </w:r>
      <w:r>
        <w:t>主要地区分析，包括销量、销售收入等</w:t>
      </w:r>
    </w:p>
    <w:p>
      <w:r>
        <w:t>第5章：全球</w:t>
      </w:r>
      <w:r>
        <w:rPr>
          <w:rFonts w:hint="eastAsia"/>
          <w:b w:val="0"/>
          <w:bCs w:val="0"/>
          <w:lang w:eastAsia="zh-CN"/>
        </w:rPr>
        <w:t>2-氨基苯并噁唑</w:t>
      </w:r>
      <w:r>
        <w:t>主要厂商基本情况介绍，包括公司简介、</w:t>
      </w:r>
      <w:r>
        <w:rPr>
          <w:rFonts w:hint="eastAsia"/>
          <w:b w:val="0"/>
          <w:bCs w:val="0"/>
          <w:lang w:eastAsia="zh-CN"/>
        </w:rPr>
        <w:t>2-氨基苯并噁唑</w:t>
      </w:r>
      <w:r>
        <w:t>产品型号、销量、收入、价格及最新动态等</w:t>
      </w:r>
    </w:p>
    <w:p>
      <w:r>
        <w:t>第6章：全球不同产品类型</w:t>
      </w:r>
      <w:r>
        <w:rPr>
          <w:rFonts w:hint="eastAsia"/>
          <w:b w:val="0"/>
          <w:bCs w:val="0"/>
          <w:lang w:eastAsia="zh-CN"/>
        </w:rPr>
        <w:t>2-氨基苯并噁唑</w:t>
      </w:r>
      <w:r>
        <w:t>销量、收入、价格及份额等</w:t>
      </w:r>
    </w:p>
    <w:p>
      <w:r>
        <w:t>第7章：全球不同应用</w:t>
      </w:r>
      <w:r>
        <w:rPr>
          <w:rFonts w:hint="eastAsia"/>
          <w:b w:val="0"/>
          <w:bCs w:val="0"/>
          <w:lang w:eastAsia="zh-CN"/>
        </w:rPr>
        <w:t>2-氨基苯并噁唑</w:t>
      </w:r>
      <w:r>
        <w:t>销量、收入、价格及份额等</w:t>
      </w:r>
    </w:p>
    <w:p>
      <w:r>
        <w:t>第8章：行业发展趋势、驱动因素、行业政策等</w:t>
      </w:r>
    </w:p>
    <w:p>
      <w:r>
        <w:t>第9章：产业链、上下游分析、生产模式、销售模式及销售渠道分析等</w:t>
      </w:r>
    </w:p>
    <w:p>
      <w:pPr>
        <w:bidi w:val="0"/>
        <w:rPr>
          <w:rFonts w:hint="eastAsia"/>
          <w:lang w:val="en-US" w:eastAsia="zh-CN"/>
        </w:rPr>
      </w:pPr>
      <w:r>
        <w:rPr>
          <w:rFonts w:hint="default"/>
        </w:rPr>
        <w:t>第</w:t>
      </w:r>
      <w:r>
        <w:rPr>
          <w:rFonts w:hint="eastAsia"/>
          <w:lang w:val="en-US" w:eastAsia="zh-CN"/>
        </w:rPr>
        <w:t>10</w:t>
      </w:r>
      <w:r>
        <w:rPr>
          <w:rFonts w:hint="default"/>
        </w:rPr>
        <w:t>章：</w:t>
      </w:r>
      <w:r>
        <w:rPr>
          <w:rFonts w:hint="eastAsia"/>
          <w:lang w:val="en-US" w:eastAsia="zh-CN"/>
        </w:rPr>
        <w:t>报告结论</w:t>
      </w:r>
    </w:p>
    <w:p>
      <w:pPr>
        <w:bidi w:val="0"/>
      </w:pPr>
      <w:r>
        <w:rPr>
          <w:rFonts w:hint="default"/>
        </w:rPr>
        <w:t>第</w:t>
      </w:r>
      <w:r>
        <w:rPr>
          <w:rFonts w:hint="eastAsia"/>
          <w:lang w:val="en-US" w:eastAsia="zh-CN"/>
        </w:rPr>
        <w:t>11</w:t>
      </w:r>
      <w:r>
        <w:rPr>
          <w:rFonts w:hint="default"/>
        </w:rPr>
        <w:t>章：</w:t>
      </w:r>
      <w:r>
        <w:t>研究方法与数据来源</w:t>
      </w:r>
    </w:p>
    <w:p>
      <w:pPr>
        <w:rPr>
          <w:rFonts w:hint="eastAsia"/>
          <w:b/>
          <w:bCs/>
        </w:rPr>
      </w:pPr>
    </w:p>
    <w:p>
      <w:r>
        <w:rPr>
          <w:rFonts w:hint="eastAsia"/>
          <w:b/>
          <w:bCs/>
        </w:rPr>
        <w:t>竞争分析：</w:t>
      </w:r>
      <w:r>
        <w:rPr>
          <w:rFonts w:hint="eastAsia"/>
        </w:rPr>
        <w:t>主要企业情况、新入企业、收购、并购和扩张、市场份额、机遇和挑战等</w:t>
      </w:r>
    </w:p>
    <w:p>
      <w:r>
        <w:rPr>
          <w:rFonts w:hint="eastAsia"/>
          <w:b/>
          <w:bCs/>
        </w:rPr>
        <w:t>行业分析：</w:t>
      </w:r>
      <w:r>
        <w:rPr>
          <w:rFonts w:hint="eastAsia"/>
        </w:rPr>
        <w:t>原材料、市场应用、产品种类、市场需求、市场供给,下游市场分析、供应链分析等</w:t>
      </w:r>
    </w:p>
    <w:p>
      <w:r>
        <w:rPr>
          <w:rFonts w:hint="eastAsia"/>
          <w:b/>
          <w:bCs/>
        </w:rPr>
        <w:t>市场规模：</w:t>
      </w:r>
      <w:r>
        <w:rPr>
          <w:rFonts w:hint="eastAsia"/>
        </w:rPr>
        <w:t>产能、产量、销售、产值、价格、成本、利润等</w:t>
      </w:r>
    </w:p>
    <w:p>
      <w:r>
        <w:rPr>
          <w:rFonts w:hint="eastAsia"/>
          <w:b/>
          <w:bCs/>
        </w:rPr>
        <w:t>定制信息：</w:t>
      </w:r>
      <w:r>
        <w:rPr>
          <w:rFonts w:hint="eastAsia"/>
        </w:rPr>
        <w:t>我们可以提供定制的调查和信息，以满足客户的需要</w:t>
      </w:r>
    </w:p>
    <w:p/>
    <w:p>
      <w:pPr>
        <w:rPr>
          <w:b/>
          <w:bCs/>
        </w:rPr>
      </w:pPr>
      <w:r>
        <w:rPr>
          <w:rFonts w:hint="eastAsia"/>
          <w:b/>
          <w:bCs/>
        </w:rPr>
        <w:t>我们通过丰富的专家资源、完备的数据库、专业的研究团队、精准完善的调查分析为您提供深入的市场调研、销售数据、市场环境分析、市场发展预测...为确保市场调研的准确性，我们所有的信息均通过多重验证审核</w:t>
      </w:r>
    </w:p>
    <w:p>
      <w:pPr>
        <w:rPr>
          <w:color w:val="0000FF"/>
        </w:rPr>
      </w:pPr>
    </w:p>
    <w:p/>
    <w:p/>
    <w:p/>
    <w:p/>
    <w:p/>
    <w:p>
      <w:pPr>
        <w:pStyle w:val="31"/>
        <w:widowControl/>
        <w:shd w:val="clear" w:color="auto" w:fill="FFFFFF"/>
        <w:spacing w:line="375" w:lineRule="atLeast"/>
        <w:rPr>
          <w:rFonts w:hint="default" w:ascii="Open Sans" w:hAnsi="Open Sans" w:eastAsia="Open Sans" w:cs="Open Sans"/>
          <w:color w:val="666666"/>
          <w:sz w:val="19"/>
          <w:szCs w:val="19"/>
          <w:shd w:val="clear" w:color="auto" w:fill="FFFFFF"/>
        </w:rPr>
      </w:pPr>
    </w:p>
    <w:p>
      <w:pPr>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 w:name="Open Sans">
    <w:altName w:val="Segoe Print"/>
    <w:panose1 w:val="00000000000000000000"/>
    <w:charset w:val="00"/>
    <w:family w:val="swiss"/>
    <w:pitch w:val="default"/>
    <w:sig w:usb0="00000000" w:usb1="00000000" w:usb2="00000028"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8"/>
    <w:bookmarkStart w:id="14" w:name="_Hlk149300690"/>
    <w:bookmarkStart w:id="15" w:name="_Hlk149300689"/>
    <w:bookmarkStart w:id="16" w:name="_Hlk149300687"/>
    <w:bookmarkStart w:id="17" w:name="_Hlk149300692"/>
    <w:bookmarkStart w:id="18" w:name="_Hlk149300691"/>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9"/>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2"/>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4FE7"/>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2C2E"/>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34"/>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4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717"/>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9AD"/>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CCB"/>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29A33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2"/>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3"/>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4"/>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5"/>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6"/>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7"/>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3"/>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4"/>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8">
    <w:name w:val="Default Paragraph Font"/>
    <w:semiHidden/>
    <w:unhideWhenUsed/>
    <w:uiPriority w:val="1"/>
  </w:style>
  <w:style w:type="table" w:default="1" w:styleId="35">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2"/>
    <w:uiPriority w:val="0"/>
    <w:pPr>
      <w:shd w:val="clear" w:color="auto" w:fill="000080"/>
    </w:pPr>
    <w:rPr>
      <w:rFonts w:asciiTheme="minorHAnsi" w:hAnsiTheme="minorHAnsi"/>
    </w:rPr>
  </w:style>
  <w:style w:type="paragraph" w:styleId="12">
    <w:name w:val="annotation text"/>
    <w:basedOn w:val="1"/>
    <w:link w:val="117"/>
    <w:autoRedefine/>
    <w:unhideWhenUsed/>
    <w:qFormat/>
    <w:uiPriority w:val="0"/>
    <w:pPr>
      <w:jc w:val="left"/>
    </w:pPr>
  </w:style>
  <w:style w:type="paragraph" w:styleId="13">
    <w:name w:val="Body Text"/>
    <w:basedOn w:val="1"/>
    <w:link w:val="113"/>
    <w:autoRedefine/>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9"/>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1"/>
    <w:autoRedefine/>
    <w:qFormat/>
    <w:uiPriority w:val="0"/>
    <w:pPr>
      <w:ind w:left="100" w:leftChars="2500"/>
    </w:pPr>
  </w:style>
  <w:style w:type="paragraph" w:styleId="19">
    <w:name w:val="endnote text"/>
    <w:basedOn w:val="1"/>
    <w:link w:val="141"/>
    <w:autoRedefine/>
    <w:semiHidden/>
    <w:unhideWhenUsed/>
    <w:qFormat/>
    <w:uiPriority w:val="99"/>
    <w:pPr>
      <w:snapToGrid w:val="0"/>
      <w:jc w:val="left"/>
    </w:pPr>
  </w:style>
  <w:style w:type="paragraph" w:styleId="20">
    <w:name w:val="Balloon Text"/>
    <w:basedOn w:val="1"/>
    <w:link w:val="105"/>
    <w:autoRedefine/>
    <w:unhideWhenUsed/>
    <w:qFormat/>
    <w:uiPriority w:val="99"/>
    <w:rPr>
      <w:rFonts w:cs="Arial"/>
      <w:kern w:val="0"/>
      <w:sz w:val="18"/>
      <w:szCs w:val="18"/>
      <w:lang w:eastAsia="en-US"/>
    </w:rPr>
  </w:style>
  <w:style w:type="paragraph" w:styleId="21">
    <w:name w:val="footer"/>
    <w:basedOn w:val="1"/>
    <w:link w:val="75"/>
    <w:unhideWhenUsed/>
    <w:uiPriority w:val="99"/>
    <w:pPr>
      <w:tabs>
        <w:tab w:val="center" w:pos="4153"/>
        <w:tab w:val="right" w:pos="8306"/>
      </w:tabs>
      <w:snapToGrid w:val="0"/>
      <w:jc w:val="left"/>
    </w:pPr>
    <w:rPr>
      <w:sz w:val="18"/>
      <w:szCs w:val="18"/>
    </w:rPr>
  </w:style>
  <w:style w:type="paragraph" w:styleId="22">
    <w:name w:val="header"/>
    <w:basedOn w:val="1"/>
    <w:link w:val="74"/>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9"/>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2"/>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8"/>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32">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3">
    <w:name w:val="Title"/>
    <w:basedOn w:val="1"/>
    <w:next w:val="1"/>
    <w:link w:val="99"/>
    <w:qFormat/>
    <w:uiPriority w:val="10"/>
    <w:pPr>
      <w:spacing w:before="240" w:after="60"/>
      <w:jc w:val="center"/>
      <w:outlineLvl w:val="0"/>
    </w:pPr>
    <w:rPr>
      <w:rFonts w:ascii="Cambria" w:hAnsi="Cambria"/>
      <w:b/>
      <w:bCs/>
      <w:sz w:val="32"/>
      <w:szCs w:val="32"/>
    </w:rPr>
  </w:style>
  <w:style w:type="paragraph" w:styleId="34">
    <w:name w:val="annotation subject"/>
    <w:basedOn w:val="1"/>
    <w:next w:val="1"/>
    <w:link w:val="119"/>
    <w:autoRedefine/>
    <w:qFormat/>
    <w:uiPriority w:val="0"/>
    <w:pPr>
      <w:jc w:val="left"/>
    </w:pPr>
    <w:rPr>
      <w:b/>
      <w:bCs/>
    </w:rPr>
  </w:style>
  <w:style w:type="table" w:styleId="36">
    <w:name w:val="Table Grid"/>
    <w:basedOn w:val="35"/>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styleId="37">
    <w:name w:val="Table Colorful 2"/>
    <w:basedOn w:val="35"/>
    <w:uiPriority w:val="0"/>
    <w:pPr>
      <w:widowControl w:val="0"/>
      <w:jc w:val="both"/>
    </w:pPr>
    <w:rPr>
      <w:rFonts w:ascii="Times New Roman" w:hAnsi="Times New Roman" w:eastAsia="宋体" w:cs="Times New Roman"/>
      <w:kern w:val="0"/>
      <w:sz w:val="20"/>
      <w:szCs w:val="20"/>
    </w:r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8">
    <w:name w:val="Table Classic 1"/>
    <w:basedOn w:val="35"/>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9">
    <w:name w:val="Table Columns 2"/>
    <w:basedOn w:val="35"/>
    <w:uiPriority w:val="0"/>
    <w:pPr>
      <w:widowControl w:val="0"/>
      <w:jc w:val="both"/>
    </w:pPr>
    <w:rPr>
      <w:rFonts w:ascii="Times New Roman" w:hAnsi="Times New Roman" w:eastAsia="宋体" w:cs="Times New Roman"/>
      <w:b/>
      <w:bCs/>
      <w:kern w:val="0"/>
      <w:sz w:val="20"/>
      <w:szCs w:val="20"/>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40">
    <w:name w:val="Table Columns 3"/>
    <w:basedOn w:val="35"/>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1">
    <w:name w:val="Table Columns 5"/>
    <w:basedOn w:val="35"/>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2">
    <w:name w:val="Table Grid 3"/>
    <w:basedOn w:val="35"/>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3">
    <w:name w:val="Table Grid 4"/>
    <w:basedOn w:val="35"/>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4">
    <w:name w:val="Table Grid 8"/>
    <w:basedOn w:val="35"/>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5">
    <w:name w:val="Light List"/>
    <w:basedOn w:val="35"/>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6">
    <w:name w:val="Light List Accent 2"/>
    <w:basedOn w:val="35"/>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7">
    <w:name w:val="Light List Accent 3"/>
    <w:basedOn w:val="35"/>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8">
    <w:name w:val="Light List Accent 4"/>
    <w:basedOn w:val="35"/>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9">
    <w:name w:val="Light List Accent 5"/>
    <w:basedOn w:val="35"/>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50">
    <w:name w:val="Medium Shading 1"/>
    <w:basedOn w:val="35"/>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1">
    <w:name w:val="Medium Shading 1 Accent 1"/>
    <w:basedOn w:val="35"/>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2">
    <w:name w:val="Medium Shading 1 Accent 2"/>
    <w:basedOn w:val="35"/>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3">
    <w:name w:val="Medium Shading 1 Accent 3"/>
    <w:basedOn w:val="35"/>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4">
    <w:name w:val="Medium Shading 1 Accent 4"/>
    <w:basedOn w:val="35"/>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5">
    <w:name w:val="Medium Shading 1 Accent 5"/>
    <w:basedOn w:val="35"/>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6">
    <w:name w:val="Medium Shading 2 Accent 2"/>
    <w:basedOn w:val="35"/>
    <w:autoRedefine/>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3"/>
    <w:basedOn w:val="35"/>
    <w:autoRedefine/>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Shading 2 Accent 5"/>
    <w:basedOn w:val="35"/>
    <w:autoRedefine/>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9">
    <w:name w:val="Medium Grid 1 Accent 3"/>
    <w:basedOn w:val="35"/>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0">
    <w:name w:val="Medium Grid 3 Accent 1"/>
    <w:basedOn w:val="35"/>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1">
    <w:name w:val="Medium Grid 3 Accent 3"/>
    <w:basedOn w:val="35"/>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2">
    <w:name w:val="Dark List Accent 3"/>
    <w:basedOn w:val="35"/>
    <w:autoRedefine/>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3">
    <w:name w:val="Dark List Accent 4"/>
    <w:basedOn w:val="35"/>
    <w:autoRedefine/>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4">
    <w:name w:val="Dark List Accent 5"/>
    <w:basedOn w:val="35"/>
    <w:autoRedefine/>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5">
    <w:name w:val="Colorful Grid"/>
    <w:basedOn w:val="35"/>
    <w:uiPriority w:val="73"/>
    <w:rPr>
      <w:rFonts w:ascii="Calibri" w:hAnsi="Calibri" w:eastAsia="宋体" w:cs="Times New Roman"/>
      <w:color w:val="000000"/>
      <w:kern w:val="0"/>
      <w:sz w:val="20"/>
      <w:szCs w:val="20"/>
    </w:rPr>
    <w:tblPr>
      <w:tblBorders>
        <w:insideH w:val="single" w:color="FFFFFF" w:sz="4" w:space="0"/>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6">
    <w:name w:val="Colorful Grid Accent 3"/>
    <w:basedOn w:val="35"/>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7">
    <w:name w:val="Colorful Grid Accent 5"/>
    <w:basedOn w:val="35"/>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9">
    <w:name w:val="Strong"/>
    <w:autoRedefine/>
    <w:qFormat/>
    <w:uiPriority w:val="22"/>
    <w:rPr>
      <w:b/>
      <w:bCs/>
    </w:rPr>
  </w:style>
  <w:style w:type="character" w:styleId="70">
    <w:name w:val="endnote reference"/>
    <w:basedOn w:val="68"/>
    <w:autoRedefine/>
    <w:semiHidden/>
    <w:unhideWhenUsed/>
    <w:qFormat/>
    <w:uiPriority w:val="99"/>
    <w:rPr>
      <w:vertAlign w:val="superscript"/>
    </w:rPr>
  </w:style>
  <w:style w:type="character" w:styleId="71">
    <w:name w:val="Emphasis"/>
    <w:autoRedefine/>
    <w:qFormat/>
    <w:uiPriority w:val="0"/>
    <w:rPr>
      <w:i/>
      <w:iCs/>
    </w:rPr>
  </w:style>
  <w:style w:type="character" w:styleId="72">
    <w:name w:val="Hyperlink"/>
    <w:unhideWhenUsed/>
    <w:uiPriority w:val="99"/>
    <w:rPr>
      <w:color w:val="0000FF"/>
      <w:u w:val="single"/>
    </w:rPr>
  </w:style>
  <w:style w:type="character" w:styleId="73">
    <w:name w:val="annotation reference"/>
    <w:autoRedefine/>
    <w:qFormat/>
    <w:uiPriority w:val="0"/>
    <w:rPr>
      <w:sz w:val="21"/>
      <w:szCs w:val="21"/>
    </w:rPr>
  </w:style>
  <w:style w:type="character" w:customStyle="1" w:styleId="74">
    <w:name w:val="页眉 Char1"/>
    <w:basedOn w:val="68"/>
    <w:link w:val="22"/>
    <w:qFormat/>
    <w:uiPriority w:val="99"/>
    <w:rPr>
      <w:sz w:val="18"/>
      <w:szCs w:val="18"/>
    </w:rPr>
  </w:style>
  <w:style w:type="character" w:customStyle="1" w:styleId="75">
    <w:name w:val="页脚 Char1"/>
    <w:basedOn w:val="68"/>
    <w:link w:val="21"/>
    <w:uiPriority w:val="99"/>
    <w:rPr>
      <w:sz w:val="18"/>
      <w:szCs w:val="18"/>
    </w:rPr>
  </w:style>
  <w:style w:type="character" w:customStyle="1" w:styleId="76">
    <w:name w:val="标题 1 字符"/>
    <w:basedOn w:val="68"/>
    <w:uiPriority w:val="9"/>
    <w:rPr>
      <w:rFonts w:ascii="Times New Roman" w:hAnsi="Times New Roman" w:eastAsia="Times New Roman" w:cs="Times New Roman"/>
      <w:b/>
      <w:bCs/>
      <w:kern w:val="44"/>
      <w:sz w:val="44"/>
      <w:szCs w:val="44"/>
    </w:rPr>
  </w:style>
  <w:style w:type="character" w:customStyle="1" w:styleId="77">
    <w:name w:val="标题 2 字符"/>
    <w:basedOn w:val="68"/>
    <w:uiPriority w:val="9"/>
    <w:rPr>
      <w:rFonts w:asciiTheme="majorHAnsi" w:hAnsiTheme="majorHAnsi" w:eastAsiaTheme="majorEastAsia" w:cstheme="majorBidi"/>
      <w:b/>
      <w:bCs/>
      <w:sz w:val="32"/>
      <w:szCs w:val="32"/>
    </w:rPr>
  </w:style>
  <w:style w:type="character" w:customStyle="1" w:styleId="78">
    <w:name w:val="标题 3 字符"/>
    <w:basedOn w:val="68"/>
    <w:uiPriority w:val="9"/>
    <w:rPr>
      <w:rFonts w:ascii="Times New Roman" w:hAnsi="Times New Roman" w:eastAsia="Times New Roman" w:cs="Times New Roman"/>
      <w:b/>
      <w:bCs/>
      <w:sz w:val="32"/>
      <w:szCs w:val="32"/>
    </w:rPr>
  </w:style>
  <w:style w:type="character" w:customStyle="1" w:styleId="79">
    <w:name w:val="标题 4 字符"/>
    <w:basedOn w:val="68"/>
    <w:uiPriority w:val="9"/>
    <w:rPr>
      <w:rFonts w:asciiTheme="majorHAnsi" w:hAnsiTheme="majorHAnsi" w:eastAsiaTheme="majorEastAsia" w:cstheme="majorBidi"/>
      <w:b/>
      <w:bCs/>
      <w:sz w:val="28"/>
      <w:szCs w:val="28"/>
    </w:rPr>
  </w:style>
  <w:style w:type="character" w:customStyle="1" w:styleId="80">
    <w:name w:val="标题 5 字符"/>
    <w:basedOn w:val="68"/>
    <w:uiPriority w:val="9"/>
    <w:rPr>
      <w:rFonts w:ascii="Times New Roman" w:hAnsi="Times New Roman" w:eastAsia="Times New Roman" w:cs="Times New Roman"/>
      <w:b/>
      <w:bCs/>
      <w:sz w:val="28"/>
      <w:szCs w:val="28"/>
    </w:rPr>
  </w:style>
  <w:style w:type="character" w:customStyle="1" w:styleId="81">
    <w:name w:val="标题 6 字符"/>
    <w:basedOn w:val="68"/>
    <w:uiPriority w:val="9"/>
    <w:rPr>
      <w:rFonts w:asciiTheme="majorHAnsi" w:hAnsiTheme="majorHAnsi" w:eastAsiaTheme="majorEastAsia" w:cstheme="majorBidi"/>
      <w:b/>
      <w:bCs/>
      <w:sz w:val="24"/>
      <w:szCs w:val="24"/>
    </w:rPr>
  </w:style>
  <w:style w:type="character" w:customStyle="1" w:styleId="82">
    <w:name w:val="标题 1 Char"/>
    <w:link w:val="2"/>
    <w:uiPriority w:val="9"/>
    <w:rPr>
      <w:rFonts w:ascii="Frutiger" w:hAnsi="Frutiger" w:eastAsia="宋体" w:cs="Calibri"/>
      <w:b/>
      <w:color w:val="FF8200"/>
      <w:kern w:val="0"/>
      <w:sz w:val="44"/>
      <w:szCs w:val="32"/>
      <w:lang w:val="en-IN" w:eastAsia="en-US"/>
    </w:rPr>
  </w:style>
  <w:style w:type="character" w:customStyle="1" w:styleId="83">
    <w:name w:val="标题 2 Char"/>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4">
    <w:name w:val="标题 3 Char"/>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5">
    <w:name w:val="标题 4 Char"/>
    <w:link w:val="5"/>
    <w:uiPriority w:val="9"/>
    <w:rPr>
      <w:rFonts w:ascii="Frutiger" w:hAnsi="Frutiger" w:eastAsia="宋体"/>
      <w:b/>
      <w:bCs/>
      <w:sz w:val="26"/>
      <w:szCs w:val="26"/>
      <w:lang w:val="zh-CN" w:eastAsia="zh-CN"/>
    </w:rPr>
  </w:style>
  <w:style w:type="character" w:customStyle="1" w:styleId="86">
    <w:name w:val="标题 5 Char"/>
    <w:link w:val="6"/>
    <w:uiPriority w:val="9"/>
    <w:rPr>
      <w:rFonts w:ascii="Frutiger" w:hAnsi="Frutiger" w:eastAsia="宋体"/>
      <w:b/>
      <w:bCs/>
      <w:sz w:val="28"/>
      <w:szCs w:val="28"/>
    </w:rPr>
  </w:style>
  <w:style w:type="character" w:customStyle="1" w:styleId="87">
    <w:name w:val="标题 6 Char"/>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8">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9">
    <w:name w:val="样式 加粗 白色 左侧:  0 厘米 悬挂缩进: 4.2 字符"/>
    <w:basedOn w:val="1"/>
    <w:next w:val="16"/>
    <w:uiPriority w:val="0"/>
    <w:pPr>
      <w:ind w:left="420" w:hanging="420"/>
    </w:pPr>
    <w:rPr>
      <w:rFonts w:cs="宋体"/>
      <w:b/>
      <w:bCs/>
      <w:color w:val="FFFFFF"/>
      <w:szCs w:val="20"/>
    </w:rPr>
  </w:style>
  <w:style w:type="character" w:customStyle="1" w:styleId="90">
    <w:name w:val="页眉 Char"/>
    <w:uiPriority w:val="0"/>
    <w:rPr>
      <w:rFonts w:ascii="Arial Unicode MS" w:hAnsi="Arial Unicode MS" w:eastAsia="微软雅黑"/>
      <w:kern w:val="2"/>
      <w:sz w:val="18"/>
      <w:szCs w:val="22"/>
    </w:rPr>
  </w:style>
  <w:style w:type="character" w:customStyle="1" w:styleId="91">
    <w:name w:val="页脚 Char"/>
    <w:uiPriority w:val="99"/>
    <w:rPr>
      <w:rFonts w:ascii="Arial Unicode MS" w:hAnsi="Arial Unicode MS" w:eastAsia="微软雅黑"/>
      <w:kern w:val="2"/>
      <w:sz w:val="18"/>
      <w:szCs w:val="22"/>
    </w:rPr>
  </w:style>
  <w:style w:type="character" w:customStyle="1" w:styleId="92">
    <w:name w:val="文档结构图 Char"/>
    <w:link w:val="11"/>
    <w:uiPriority w:val="0"/>
    <w:rPr>
      <w:rFonts w:eastAsia="Times New Roman"/>
      <w:szCs w:val="21"/>
      <w:shd w:val="clear" w:color="auto" w:fill="000080"/>
    </w:rPr>
  </w:style>
  <w:style w:type="character" w:customStyle="1" w:styleId="93">
    <w:name w:val="文档结构图 字符"/>
    <w:basedOn w:val="68"/>
    <w:uiPriority w:val="99"/>
    <w:rPr>
      <w:rFonts w:ascii="Microsoft YaHei UI" w:hAnsi="Times New Roman" w:eastAsia="Microsoft YaHei UI" w:cs="Times New Roman"/>
      <w:sz w:val="18"/>
      <w:szCs w:val="18"/>
    </w:rPr>
  </w:style>
  <w:style w:type="character" w:customStyle="1" w:styleId="94">
    <w:name w:val="文档结构图 Char1"/>
    <w:uiPriority w:val="99"/>
    <w:rPr>
      <w:rFonts w:ascii="宋体" w:hAnsi="Arial Unicode MS"/>
      <w:kern w:val="2"/>
      <w:sz w:val="18"/>
      <w:szCs w:val="18"/>
    </w:rPr>
  </w:style>
  <w:style w:type="character" w:customStyle="1" w:styleId="95">
    <w:name w:val="纯文本 字符"/>
    <w:basedOn w:val="68"/>
    <w:uiPriority w:val="99"/>
    <w:rPr>
      <w:rFonts w:hAnsi="Courier New" w:cs="Courier New" w:asciiTheme="minorEastAsia"/>
      <w:szCs w:val="21"/>
    </w:rPr>
  </w:style>
  <w:style w:type="paragraph" w:customStyle="1" w:styleId="96">
    <w:name w:val="_Style 48"/>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
    <w:basedOn w:val="68"/>
    <w:uiPriority w:val="10"/>
    <w:rPr>
      <w:rFonts w:asciiTheme="majorHAnsi" w:hAnsiTheme="majorHAnsi" w:eastAsiaTheme="majorEastAsia" w:cstheme="majorBidi"/>
      <w:b/>
      <w:bCs/>
      <w:sz w:val="32"/>
      <w:szCs w:val="32"/>
    </w:rPr>
  </w:style>
  <w:style w:type="character" w:customStyle="1" w:styleId="99">
    <w:name w:val="标题 Char"/>
    <w:link w:val="33"/>
    <w:uiPriority w:val="10"/>
    <w:rPr>
      <w:rFonts w:ascii="Cambria" w:hAnsi="Cambria" w:eastAsia="宋体" w:cs="Times New Roman"/>
      <w:b/>
      <w:bCs/>
      <w:sz w:val="32"/>
      <w:szCs w:val="32"/>
    </w:rPr>
  </w:style>
  <w:style w:type="paragraph" w:customStyle="1" w:styleId="100">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1">
    <w:name w:val="副标题 字符"/>
    <w:basedOn w:val="68"/>
    <w:uiPriority w:val="11"/>
    <w:rPr>
      <w:b/>
      <w:bCs/>
      <w:kern w:val="28"/>
      <w:sz w:val="32"/>
      <w:szCs w:val="32"/>
    </w:rPr>
  </w:style>
  <w:style w:type="character" w:customStyle="1" w:styleId="102">
    <w:name w:val="副标题 Char"/>
    <w:link w:val="26"/>
    <w:uiPriority w:val="11"/>
    <w:rPr>
      <w:rFonts w:ascii="Cambria" w:hAnsi="Cambria" w:eastAsia="宋体" w:cs="Times New Roman"/>
      <w:b/>
      <w:bCs/>
      <w:kern w:val="28"/>
      <w:sz w:val="32"/>
      <w:szCs w:val="32"/>
    </w:rPr>
  </w:style>
  <w:style w:type="character" w:customStyle="1" w:styleId="103">
    <w:name w:val="@他1"/>
    <w:autoRedefine/>
    <w:semiHidden/>
    <w:unhideWhenUsed/>
    <w:uiPriority w:val="99"/>
    <w:rPr>
      <w:color w:val="2B579A"/>
      <w:shd w:val="clear" w:color="auto" w:fill="E6E6E6"/>
    </w:rPr>
  </w:style>
  <w:style w:type="character" w:customStyle="1" w:styleId="104">
    <w:name w:val="批注框文本 字符"/>
    <w:basedOn w:val="68"/>
    <w:autoRedefine/>
    <w:qFormat/>
    <w:uiPriority w:val="99"/>
    <w:rPr>
      <w:rFonts w:ascii="Times New Roman" w:hAnsi="Times New Roman" w:eastAsia="Times New Roman" w:cs="Times New Roman"/>
      <w:sz w:val="18"/>
      <w:szCs w:val="18"/>
    </w:rPr>
  </w:style>
  <w:style w:type="character" w:customStyle="1" w:styleId="105">
    <w:name w:val="批注框文本 Char"/>
    <w:link w:val="20"/>
    <w:uiPriority w:val="99"/>
    <w:rPr>
      <w:rFonts w:ascii="Arial" w:hAnsi="Arial" w:eastAsia="Times New Roman" w:cs="Arial"/>
      <w:kern w:val="0"/>
      <w:sz w:val="18"/>
      <w:szCs w:val="18"/>
      <w:lang w:eastAsia="en-US"/>
    </w:rPr>
  </w:style>
  <w:style w:type="table" w:customStyle="1" w:styleId="106">
    <w:name w:val="网格表 4 - 着色 11"/>
    <w:basedOn w:val="35"/>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uiPriority w:val="0"/>
    <w:rPr>
      <w:rFonts w:cs="宋体"/>
      <w:szCs w:val="20"/>
    </w:rPr>
  </w:style>
  <w:style w:type="paragraph" w:customStyle="1" w:styleId="108">
    <w:name w:val="样式 标题 5 + (中文) 宋体"/>
    <w:basedOn w:val="6"/>
    <w:uiPriority w:val="0"/>
  </w:style>
  <w:style w:type="character" w:customStyle="1" w:styleId="109">
    <w:name w:val="纯文本 Char"/>
    <w:link w:val="16"/>
    <w:uiPriority w:val="0"/>
    <w:rPr>
      <w:rFonts w:ascii="宋体" w:hAnsi="Courier New" w:eastAsia="Times New Roman" w:cs="Courier New"/>
      <w:szCs w:val="21"/>
    </w:rPr>
  </w:style>
  <w:style w:type="table" w:customStyle="1" w:styleId="110">
    <w:name w:val="网格表 4 - 着色 12"/>
    <w:basedOn w:val="35"/>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1">
    <w:name w:val="网格表 5 深色 - 着色 11"/>
    <w:basedOn w:val="35"/>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2">
    <w:name w:val="正文文本 字符"/>
    <w:basedOn w:val="68"/>
    <w:autoRedefine/>
    <w:qFormat/>
    <w:uiPriority w:val="99"/>
    <w:rPr>
      <w:rFonts w:ascii="Times New Roman" w:hAnsi="Times New Roman" w:eastAsia="Times New Roman" w:cs="Times New Roman"/>
      <w:szCs w:val="21"/>
    </w:rPr>
  </w:style>
  <w:style w:type="character" w:customStyle="1" w:styleId="113">
    <w:name w:val="正文文本 Char"/>
    <w:link w:val="13"/>
    <w:autoRedefine/>
    <w:qFormat/>
    <w:uiPriority w:val="1"/>
    <w:rPr>
      <w:rFonts w:ascii="Arial" w:hAnsi="Arial" w:eastAsia="Arial" w:cs="Arial"/>
      <w:kern w:val="0"/>
      <w:sz w:val="53"/>
      <w:szCs w:val="53"/>
      <w:lang w:eastAsia="en-US"/>
    </w:rPr>
  </w:style>
  <w:style w:type="paragraph" w:styleId="114">
    <w:name w:val="List Paragraph"/>
    <w:basedOn w:val="1"/>
    <w:link w:val="148"/>
    <w:autoRedefine/>
    <w:qFormat/>
    <w:uiPriority w:val="1"/>
    <w:pPr>
      <w:jc w:val="left"/>
    </w:pPr>
    <w:rPr>
      <w:rFonts w:eastAsia="Arial" w:cs="Arial"/>
      <w:kern w:val="0"/>
      <w:szCs w:val="22"/>
      <w:lang w:eastAsia="en-US"/>
    </w:rPr>
  </w:style>
  <w:style w:type="paragraph" w:customStyle="1" w:styleId="115">
    <w:name w:val="Table Paragraph"/>
    <w:basedOn w:val="1"/>
    <w:autoRedefine/>
    <w:qFormat/>
    <w:uiPriority w:val="1"/>
    <w:pPr>
      <w:jc w:val="left"/>
    </w:pPr>
    <w:rPr>
      <w:rFonts w:eastAsia="Arial" w:cs="Arial"/>
      <w:kern w:val="0"/>
      <w:szCs w:val="22"/>
      <w:lang w:eastAsia="en-US"/>
    </w:rPr>
  </w:style>
  <w:style w:type="character" w:customStyle="1" w:styleId="116">
    <w:name w:val="批注文字 字符"/>
    <w:basedOn w:val="68"/>
    <w:autoRedefine/>
    <w:qFormat/>
    <w:uiPriority w:val="99"/>
    <w:rPr>
      <w:rFonts w:ascii="Times New Roman" w:hAnsi="Times New Roman" w:eastAsia="Times New Roman" w:cs="Times New Roman"/>
      <w:szCs w:val="21"/>
    </w:rPr>
  </w:style>
  <w:style w:type="character" w:customStyle="1" w:styleId="117">
    <w:name w:val="批注文字 Char"/>
    <w:link w:val="12"/>
    <w:autoRedefine/>
    <w:qFormat/>
    <w:uiPriority w:val="0"/>
    <w:rPr>
      <w:rFonts w:ascii="Times New Roman" w:hAnsi="Times New Roman" w:eastAsia="Times New Roman" w:cs="Times New Roman"/>
      <w:szCs w:val="21"/>
    </w:rPr>
  </w:style>
  <w:style w:type="character" w:customStyle="1" w:styleId="118">
    <w:name w:val="批注主题 字符"/>
    <w:basedOn w:val="116"/>
    <w:autoRedefine/>
    <w:qFormat/>
    <w:uiPriority w:val="99"/>
    <w:rPr>
      <w:rFonts w:ascii="Times New Roman" w:hAnsi="Times New Roman" w:eastAsia="Times New Roman" w:cs="Times New Roman"/>
      <w:b/>
      <w:bCs/>
      <w:szCs w:val="21"/>
    </w:rPr>
  </w:style>
  <w:style w:type="character" w:customStyle="1" w:styleId="119">
    <w:name w:val="批注主题 Char"/>
    <w:link w:val="34"/>
    <w:autoRedefine/>
    <w:qFormat/>
    <w:uiPriority w:val="0"/>
    <w:rPr>
      <w:rFonts w:ascii="Times New Roman" w:hAnsi="Times New Roman" w:eastAsia="Times New Roman" w:cs="Times New Roman"/>
      <w:b/>
      <w:bCs/>
      <w:szCs w:val="21"/>
    </w:rPr>
  </w:style>
  <w:style w:type="character" w:customStyle="1" w:styleId="120">
    <w:name w:val="日期 字符"/>
    <w:basedOn w:val="68"/>
    <w:autoRedefine/>
    <w:qFormat/>
    <w:uiPriority w:val="99"/>
    <w:rPr>
      <w:rFonts w:ascii="Times New Roman" w:hAnsi="Times New Roman" w:eastAsia="Times New Roman" w:cs="Times New Roman"/>
      <w:szCs w:val="21"/>
    </w:rPr>
  </w:style>
  <w:style w:type="character" w:customStyle="1" w:styleId="121">
    <w:name w:val="日期 Char"/>
    <w:link w:val="18"/>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8"/>
    <w:autoRedefine/>
    <w:qFormat/>
    <w:uiPriority w:val="0"/>
    <w:pPr>
      <w:ind w:left="842" w:hanging="422"/>
    </w:pPr>
    <w:rPr>
      <w:rFonts w:cs="宋体"/>
    </w:rPr>
  </w:style>
  <w:style w:type="paragraph" w:customStyle="1" w:styleId="125">
    <w:name w:val="样式 图表目录 + 左侧:  2 字符 悬挂缩进: 2 字符1"/>
    <w:basedOn w:val="28"/>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Cs w:val="20"/>
    </w:rPr>
  </w:style>
  <w:style w:type="paragraph" w:customStyle="1" w:styleId="127">
    <w:name w:val="样式 10 磅 左"/>
    <w:basedOn w:val="1"/>
    <w:next w:val="1"/>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kern w:val="0"/>
      <w:sz w:val="22"/>
      <w:szCs w:val="21"/>
      <w:lang w:val="en-US" w:eastAsia="zh-CN" w:bidi="ar-SA"/>
    </w:rPr>
  </w:style>
  <w:style w:type="character" w:customStyle="1" w:styleId="133">
    <w:name w:val="无间隔 Char"/>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5"/>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5"/>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5"/>
    <w:autoRedefine/>
    <w:qFormat/>
    <w:uiPriority w:val="45"/>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8"/>
    <w:autoRedefine/>
    <w:semiHidden/>
    <w:unhideWhenUsed/>
    <w:qFormat/>
    <w:uiPriority w:val="99"/>
    <w:rPr>
      <w:color w:val="605E5C"/>
      <w:shd w:val="clear" w:color="auto" w:fill="E1DFDD"/>
    </w:rPr>
  </w:style>
  <w:style w:type="character" w:customStyle="1" w:styleId="139">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40">
    <w:name w:val="Style1"/>
    <w:link w:val="169"/>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1">
    <w:name w:val="尾注文本 Char"/>
    <w:basedOn w:val="68"/>
    <w:link w:val="19"/>
    <w:autoRedefine/>
    <w:semiHidden/>
    <w:qFormat/>
    <w:uiPriority w:val="99"/>
    <w:rPr>
      <w:rFonts w:ascii="Times New Roman" w:hAnsi="Times New Roman"/>
    </w:rPr>
  </w:style>
  <w:style w:type="character" w:customStyle="1" w:styleId="142">
    <w:name w:val="未处理的提及11"/>
    <w:basedOn w:val="68"/>
    <w:autoRedefine/>
    <w:semiHidden/>
    <w:unhideWhenUsed/>
    <w:qFormat/>
    <w:uiPriority w:val="99"/>
    <w:rPr>
      <w:color w:val="605E5C"/>
      <w:shd w:val="clear" w:color="auto" w:fill="E1DFDD"/>
    </w:rPr>
  </w:style>
  <w:style w:type="character" w:customStyle="1" w:styleId="143">
    <w:name w:val="未处理的提及2"/>
    <w:basedOn w:val="68"/>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5">
    <w:name w:val="Source 字符"/>
    <w:basedOn w:val="68"/>
    <w:link w:val="144"/>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8"/>
    <w:link w:val="146"/>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8">
    <w:name w:val="列出段落 Char"/>
    <w:basedOn w:val="68"/>
    <w:link w:val="114"/>
    <w:autoRedefine/>
    <w:qFormat/>
    <w:uiPriority w:val="1"/>
    <w:rPr>
      <w:rFonts w:ascii="Arial" w:hAnsi="Arial" w:eastAsia="Arial" w:cs="Arial"/>
      <w:kern w:val="0"/>
      <w:sz w:val="22"/>
      <w:szCs w:val="22"/>
      <w:lang w:eastAsia="en-US"/>
    </w:rPr>
  </w:style>
  <w:style w:type="paragraph" w:customStyle="1" w:styleId="149">
    <w:name w:val="Figure Style"/>
    <w:basedOn w:val="114"/>
    <w:link w:val="151"/>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50">
    <w:name w:val="Figure Style Char"/>
    <w:basedOn w:val="148"/>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1">
    <w:name w:val="Figure Style 字符"/>
    <w:basedOn w:val="148"/>
    <w:link w:val="149"/>
    <w:autoRedefine/>
    <w:qFormat/>
    <w:uiPriority w:val="0"/>
    <w:rPr>
      <w:rFonts w:ascii="Tahoma" w:hAnsi="Tahoma" w:eastAsia="宋体" w:cs="Arial"/>
      <w:b/>
      <w:color w:val="FF8200"/>
      <w:kern w:val="0"/>
      <w:sz w:val="22"/>
      <w:szCs w:val="22"/>
      <w:lang w:eastAsia="en-US"/>
    </w:rPr>
  </w:style>
  <w:style w:type="paragraph" w:customStyle="1" w:styleId="152">
    <w:name w:val="Table Style"/>
    <w:basedOn w:val="114"/>
    <w:link w:val="153"/>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3">
    <w:name w:val="Table Style Char"/>
    <w:basedOn w:val="68"/>
    <w:link w:val="152"/>
    <w:autoRedefine/>
    <w:qFormat/>
    <w:uiPriority w:val="0"/>
    <w:rPr>
      <w:rFonts w:ascii="Frutiger" w:hAnsi="Frutiger" w:eastAsia="宋体"/>
      <w:b/>
      <w:color w:val="FF8200"/>
      <w:kern w:val="0"/>
      <w:szCs w:val="22"/>
      <w:lang w:val="en-IN" w:eastAsia="en-US"/>
    </w:rPr>
  </w:style>
  <w:style w:type="paragraph" w:customStyle="1" w:styleId="154">
    <w:name w:val="Table of Contents"/>
    <w:basedOn w:val="140"/>
    <w:link w:val="155"/>
    <w:autoRedefine/>
    <w:qFormat/>
    <w:uiPriority w:val="0"/>
    <w:pPr>
      <w:pageBreakBefore/>
      <w:jc w:val="both"/>
    </w:pPr>
    <w:rPr>
      <w:szCs w:val="20"/>
    </w:rPr>
  </w:style>
  <w:style w:type="character" w:customStyle="1" w:styleId="155">
    <w:name w:val="Table of Contents Char"/>
    <w:basedOn w:val="68"/>
    <w:link w:val="154"/>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6">
    <w:name w:val="Source Char"/>
    <w:basedOn w:val="68"/>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7">
    <w:name w:val="目录2"/>
    <w:basedOn w:val="29"/>
    <w:next w:val="29"/>
    <w:link w:val="159"/>
    <w:autoRedefine/>
    <w:qFormat/>
    <w:uiPriority w:val="0"/>
    <w:pPr>
      <w:tabs>
        <w:tab w:val="right" w:pos="9736"/>
      </w:tabs>
    </w:pPr>
  </w:style>
  <w:style w:type="character" w:customStyle="1" w:styleId="158">
    <w:name w:val="目录 2 Char"/>
    <w:basedOn w:val="68"/>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9">
    <w:name w:val="目录2 字符"/>
    <w:basedOn w:val="158"/>
    <w:link w:val="157"/>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60">
    <w:name w:val="未处理的提及3"/>
    <w:basedOn w:val="68"/>
    <w:autoRedefine/>
    <w:semiHidden/>
    <w:unhideWhenUsed/>
    <w:qFormat/>
    <w:uiPriority w:val="99"/>
    <w:rPr>
      <w:color w:val="605E5C"/>
      <w:shd w:val="clear" w:color="auto" w:fill="E1DFDD"/>
    </w:rPr>
  </w:style>
  <w:style w:type="table" w:customStyle="1" w:styleId="161">
    <w:name w:val="List Table 2 Accent 4"/>
    <w:basedOn w:val="35"/>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2">
    <w:name w:val="表格-lpi"/>
    <w:basedOn w:val="35"/>
    <w:autoRedefine/>
    <w:qFormat/>
    <w:uiPriority w:val="99"/>
    <w:rPr>
      <w:rFonts w:eastAsia="Times New Roman"/>
      <w:color w:val="00B050"/>
      <w:kern w:val="0"/>
      <w:sz w:val="20"/>
      <w:szCs w:val="20"/>
    </w:rPr>
    <w:tblPr>
      <w:tblCellMar>
        <w:top w:w="0" w:type="dxa"/>
        <w:left w:w="108" w:type="dxa"/>
        <w:bottom w:w="0" w:type="dxa"/>
        <w:right w:w="108" w:type="dxa"/>
      </w:tblCellMar>
    </w:tblPr>
  </w:style>
  <w:style w:type="character" w:customStyle="1" w:styleId="163">
    <w:name w:val="未处理的提及31"/>
    <w:basedOn w:val="68"/>
    <w:autoRedefine/>
    <w:semiHidden/>
    <w:unhideWhenUsed/>
    <w:qFormat/>
    <w:uiPriority w:val="99"/>
    <w:rPr>
      <w:color w:val="605E5C"/>
      <w:shd w:val="clear" w:color="auto" w:fill="E1DFDD"/>
    </w:rPr>
  </w:style>
  <w:style w:type="paragraph" w:customStyle="1" w:styleId="164">
    <w:name w:val="Paragraph"/>
    <w:basedOn w:val="1"/>
    <w:link w:val="165"/>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5">
    <w:name w:val="Paragraph Char"/>
    <w:basedOn w:val="68"/>
    <w:link w:val="164"/>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6">
    <w:name w:val="List Table 1 Light Accent 1"/>
    <w:basedOn w:val="35"/>
    <w:autoRedefine/>
    <w:qFormat/>
    <w:uiPriority w:val="46"/>
    <w:pPr>
      <w:jc w:val="right"/>
    </w:pPr>
    <w:tblPr>
      <w:tblBorders>
        <w:top w:val="single" w:color="5B9BD5" w:themeColor="accent1" w:sz="18" w:space="0"/>
        <w:bottom w:val="single" w:color="5B9BD5" w:themeColor="accent1" w:sz="18" w:space="0"/>
      </w:tblBorders>
      <w:tblCellMar>
        <w:top w:w="0" w:type="dxa"/>
        <w:left w:w="108" w:type="dxa"/>
        <w:bottom w:w="0" w:type="dxa"/>
        <w:right w:w="108" w:type="dxa"/>
      </w:tblCellMar>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7">
    <w:name w:val="未处理的提及4"/>
    <w:basedOn w:val="68"/>
    <w:autoRedefine/>
    <w:semiHidden/>
    <w:unhideWhenUsed/>
    <w:qFormat/>
    <w:uiPriority w:val="99"/>
    <w:rPr>
      <w:color w:val="605E5C"/>
      <w:shd w:val="clear" w:color="auto" w:fill="E1DFDD"/>
    </w:rPr>
  </w:style>
  <w:style w:type="paragraph" w:customStyle="1" w:styleId="168">
    <w:name w:val="概述"/>
    <w:basedOn w:val="140"/>
    <w:link w:val="170"/>
    <w:autoRedefine/>
    <w:qFormat/>
    <w:uiPriority w:val="0"/>
    <w:pPr>
      <w:keepNext/>
      <w:spacing w:after="120"/>
    </w:pPr>
    <w:rPr>
      <w:rFonts w:ascii="Tahoma" w:hAnsi="Tahoma" w:eastAsia="宋体"/>
      <w:caps w:val="0"/>
      <w:color w:val="FF8200"/>
      <w:sz w:val="24"/>
    </w:rPr>
  </w:style>
  <w:style w:type="character" w:customStyle="1" w:styleId="169">
    <w:name w:val="Style1 字符"/>
    <w:basedOn w:val="68"/>
    <w:link w:val="140"/>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70">
    <w:name w:val="概述 字符"/>
    <w:basedOn w:val="169"/>
    <w:link w:val="168"/>
    <w:autoRedefine/>
    <w:qFormat/>
    <w:uiPriority w:val="0"/>
    <w:rPr>
      <w:rFonts w:ascii="Tahoma" w:hAnsi="Tahoma" w:eastAsia="宋体" w:cs="Calibri"/>
      <w:caps w:val="0"/>
      <w:color w:val="FF8200"/>
      <w:spacing w:val="-3"/>
      <w:kern w:val="0"/>
      <w:sz w:val="24"/>
      <w:szCs w:val="40"/>
      <w:lang w:eastAsia="en-IN"/>
    </w:rPr>
  </w:style>
  <w:style w:type="table" w:customStyle="1" w:styleId="171">
    <w:name w:val="彩色网格 - 强调文字颜色 51"/>
    <w:basedOn w:val="35"/>
    <w:autoRedefine/>
    <w:qFormat/>
    <w:uiPriority w:val="73"/>
    <w:rPr>
      <w:rFonts w:ascii="Calibri" w:hAnsi="Calibri" w:eastAsia="宋体" w:cs="Times New Roman"/>
      <w:color w:val="000000"/>
      <w:kern w:val="0"/>
      <w:sz w:val="20"/>
      <w:szCs w:val="20"/>
    </w:rPr>
    <w:tblPr>
      <w:tblBorders>
        <w:insideH w:val="single" w:color="FFFFFF" w:sz="4" w:space="0"/>
      </w:tblBorders>
      <w:tblCellMar>
        <w:top w:w="0" w:type="dxa"/>
        <w:left w:w="108" w:type="dxa"/>
        <w:bottom w:w="0" w:type="dxa"/>
        <w:right w:w="108" w:type="dxa"/>
      </w:tblCellMar>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2">
    <w:name w:val="彩色网格 - 强调文字颜色 31"/>
    <w:basedOn w:val="35"/>
    <w:autoRedefine/>
    <w:qFormat/>
    <w:uiPriority w:val="73"/>
    <w:rPr>
      <w:rFonts w:ascii="Calibri" w:hAnsi="Calibri" w:eastAsia="宋体" w:cs="Times New Roman"/>
      <w:color w:val="000000"/>
      <w:kern w:val="0"/>
      <w:sz w:val="20"/>
      <w:szCs w:val="20"/>
    </w:rPr>
    <w:tblPr>
      <w:tblBorders>
        <w:insideH w:val="single" w:color="FFFFFF" w:sz="4" w:space="0"/>
      </w:tblBorders>
      <w:tblCellMar>
        <w:top w:w="0" w:type="dxa"/>
        <w:left w:w="108" w:type="dxa"/>
        <w:bottom w:w="0" w:type="dxa"/>
        <w:right w:w="108" w:type="dxa"/>
      </w:tblCellMar>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3">
    <w:name w:val="深色列表 - 强调文字颜色 31"/>
    <w:basedOn w:val="35"/>
    <w:autoRedefine/>
    <w:qFormat/>
    <w:uiPriority w:val="70"/>
    <w:rPr>
      <w:rFonts w:ascii="Calibri" w:hAnsi="Calibri" w:eastAsia="宋体" w:cs="Times New Roman"/>
      <w:color w:val="FFFFFF"/>
      <w:kern w:val="0"/>
      <w:sz w:val="20"/>
      <w:szCs w:val="20"/>
    </w:rPr>
    <w:tblPr>
      <w:tblCellMar>
        <w:top w:w="0" w:type="dxa"/>
        <w:left w:w="108" w:type="dxa"/>
        <w:bottom w:w="0" w:type="dxa"/>
        <w:right w:w="108" w:type="dxa"/>
      </w:tblCellMar>
    </w:tbl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4">
    <w:name w:val="深色列表 - 强调文字颜色 41"/>
    <w:basedOn w:val="35"/>
    <w:autoRedefine/>
    <w:qFormat/>
    <w:uiPriority w:val="70"/>
    <w:rPr>
      <w:rFonts w:ascii="Calibri" w:hAnsi="Calibri" w:eastAsia="宋体" w:cs="Times New Roman"/>
      <w:color w:val="FFFFFF"/>
      <w:kern w:val="0"/>
      <w:sz w:val="20"/>
      <w:szCs w:val="20"/>
    </w:rPr>
    <w:tblPr>
      <w:tblCellMar>
        <w:top w:w="0" w:type="dxa"/>
        <w:left w:w="108" w:type="dxa"/>
        <w:bottom w:w="0" w:type="dxa"/>
        <w:right w:w="108" w:type="dxa"/>
      </w:tblCellMar>
    </w:tbl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5">
    <w:name w:val="深色列表 - 强调文字颜色 51"/>
    <w:basedOn w:val="35"/>
    <w:autoRedefine/>
    <w:qFormat/>
    <w:uiPriority w:val="70"/>
    <w:rPr>
      <w:rFonts w:ascii="Calibri" w:hAnsi="Calibri" w:eastAsia="宋体" w:cs="Times New Roman"/>
      <w:color w:val="FFFFFF"/>
      <w:kern w:val="0"/>
      <w:sz w:val="20"/>
      <w:szCs w:val="20"/>
    </w:rPr>
    <w:tblPr>
      <w:tblCellMar>
        <w:top w:w="0" w:type="dxa"/>
        <w:left w:w="108" w:type="dxa"/>
        <w:bottom w:w="0" w:type="dxa"/>
        <w:right w:w="108" w:type="dxa"/>
      </w:tblCellMar>
    </w:tbl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6">
    <w:name w:val="中等深浅底纹 1 - 强调文字颜色 41"/>
    <w:basedOn w:val="35"/>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7">
    <w:name w:val="浅色列表 - 强调文字颜色 31"/>
    <w:basedOn w:val="35"/>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8">
    <w:name w:val="浅色列表 - 强调文字颜色 21"/>
    <w:basedOn w:val="35"/>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9">
    <w:name w:val="浅色列表 - 强调文字颜色 41"/>
    <w:basedOn w:val="35"/>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80">
    <w:name w:val="中等深浅底纹 2 - 强调文字颜色 21"/>
    <w:basedOn w:val="35"/>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1">
    <w:name w:val="中等深浅底纹 1 - 强调文字颜色 21"/>
    <w:basedOn w:val="35"/>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2">
    <w:name w:val="中等深浅网格 3 - 强调文字颜色 11"/>
    <w:basedOn w:val="35"/>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CellMar>
        <w:top w:w="0" w:type="dxa"/>
        <w:left w:w="108" w:type="dxa"/>
        <w:bottom w:w="0" w:type="dxa"/>
        <w:right w:w="108" w:type="dxa"/>
      </w:tblCellMar>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3">
    <w:name w:val="中等深浅底纹 2 - 强调文字颜色 31"/>
    <w:basedOn w:val="35"/>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4">
    <w:name w:val="浅色列表 - 强调文字颜色 51"/>
    <w:basedOn w:val="35"/>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5">
    <w:name w:val="中等深浅网格 3 - 强调文字颜色 31"/>
    <w:basedOn w:val="35"/>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CellMar>
        <w:top w:w="0" w:type="dxa"/>
        <w:left w:w="108" w:type="dxa"/>
        <w:bottom w:w="0" w:type="dxa"/>
        <w:right w:w="108" w:type="dxa"/>
      </w:tblCellMar>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6">
    <w:name w:val="中等深浅网格 1 - 强调文字颜色 31"/>
    <w:basedOn w:val="35"/>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CellMar>
        <w:top w:w="0" w:type="dxa"/>
        <w:left w:w="108" w:type="dxa"/>
        <w:bottom w:w="0" w:type="dxa"/>
        <w:right w:w="108" w:type="dxa"/>
      </w:tblCellMar>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7">
    <w:name w:val="中等深浅底纹 1 - 强调文字颜色 31"/>
    <w:basedOn w:val="35"/>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8">
    <w:name w:val="中等深浅底纹 2 - 强调文字颜色 51"/>
    <w:basedOn w:val="35"/>
    <w:autoRedefine/>
    <w:qFormat/>
    <w:uiPriority w:val="64"/>
    <w:rPr>
      <w:rFonts w:ascii="Calibri" w:hAnsi="Calibri" w:eastAsia="宋体" w:cs="Times New Roman"/>
    </w:r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9">
    <w:name w:val="中等深浅底纹 1 - 强调文字颜色 51"/>
    <w:basedOn w:val="35"/>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90">
    <w:name w:val="中等深浅底纹 1 - 强调文字颜色 11"/>
    <w:basedOn w:val="35"/>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1">
    <w:name w:val="网格表 4 - 着色 52"/>
    <w:basedOn w:val="35"/>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CellMar>
        <w:top w:w="0" w:type="dxa"/>
        <w:left w:w="108" w:type="dxa"/>
        <w:bottom w:w="0" w:type="dxa"/>
        <w:right w:w="108" w:type="dxa"/>
      </w:tblCellMar>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2">
    <w:name w:val="未处理的提及41"/>
    <w:basedOn w:val="68"/>
    <w:autoRedefine/>
    <w:semiHidden/>
    <w:unhideWhenUsed/>
    <w:qFormat/>
    <w:uiPriority w:val="99"/>
    <w:rPr>
      <w:color w:val="605E5C"/>
      <w:shd w:val="clear" w:color="auto" w:fill="E1DFDD"/>
    </w:rPr>
  </w:style>
  <w:style w:type="character" w:customStyle="1" w:styleId="193">
    <w:name w:val="标题 7 Char"/>
    <w:basedOn w:val="68"/>
    <w:link w:val="8"/>
    <w:autoRedefine/>
    <w:qFormat/>
    <w:uiPriority w:val="9"/>
    <w:rPr>
      <w:rFonts w:ascii="Book Antiqua" w:hAnsi="Book Antiqua" w:eastAsia="宋体"/>
      <w:b/>
      <w:bCs/>
      <w:color w:val="1A1A1A" w:themeColor="background1" w:themeShade="1A"/>
      <w:szCs w:val="24"/>
    </w:rPr>
  </w:style>
  <w:style w:type="character" w:customStyle="1" w:styleId="194">
    <w:name w:val="标题 8 Char"/>
    <w:basedOn w:val="68"/>
    <w:link w:val="9"/>
    <w:autoRedefine/>
    <w:semiHidden/>
    <w:qFormat/>
    <w:uiPriority w:val="9"/>
    <w:rPr>
      <w:rFonts w:asciiTheme="majorHAnsi" w:hAnsiTheme="majorHAnsi" w:eastAsiaTheme="majorEastAsia" w:cstheme="majorBidi"/>
      <w:sz w:val="24"/>
      <w:szCs w:val="24"/>
    </w:rPr>
  </w:style>
  <w:style w:type="character" w:customStyle="1" w:styleId="195">
    <w:name w:val="未处理的提及5"/>
    <w:basedOn w:val="68"/>
    <w:autoRedefine/>
    <w:semiHidden/>
    <w:unhideWhenUsed/>
    <w:qFormat/>
    <w:uiPriority w:val="99"/>
    <w:rPr>
      <w:color w:val="605E5C"/>
      <w:shd w:val="clear" w:color="auto" w:fill="E1DFDD"/>
    </w:rPr>
  </w:style>
  <w:style w:type="table" w:customStyle="1" w:styleId="196">
    <w:name w:val="List Table 2 Accent 2"/>
    <w:basedOn w:val="35"/>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7">
    <w:name w:val="lpi 专用"/>
    <w:basedOn w:val="198"/>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top w:w="0" w:type="dxa"/>
        <w:left w:w="0" w:type="dxa"/>
        <w:bottom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w:basedOn w:val="35"/>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9">
    <w:name w:val="Grid Table 2 Accent 4"/>
    <w:basedOn w:val="35"/>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200">
    <w:name w:val="Grid Table 2 Accent 5"/>
    <w:basedOn w:val="35"/>
    <w:autoRedefine/>
    <w:qFormat/>
    <w:uiPriority w:val="47"/>
    <w:tblPr>
      <w:tblBorders>
        <w:top w:val="single" w:color="8EAADB" w:themeColor="accent5" w:themeTint="99" w:sz="2" w:space="0"/>
        <w:bottom w:val="single" w:color="8EAADB" w:themeColor="accent5" w:themeTint="99" w:sz="2" w:space="0"/>
      </w:tblBorders>
      <w:tblCellMar>
        <w:top w:w="0" w:type="dxa"/>
        <w:left w:w="108" w:type="dxa"/>
        <w:bottom w:w="0" w:type="dxa"/>
        <w:right w:w="108" w:type="dxa"/>
      </w:tblCellMar>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1">
    <w:name w:val="季度-样式"/>
    <w:basedOn w:val="35"/>
    <w:autoRedefine/>
    <w:qFormat/>
    <w:uiPriority w:val="99"/>
    <w:tblPr>
      <w:tblCellMar>
        <w:top w:w="0" w:type="dxa"/>
        <w:left w:w="108" w:type="dxa"/>
        <w:bottom w:w="0" w:type="dxa"/>
        <w:right w:w="108" w:type="dxa"/>
      </w:tblCellMar>
    </w:tblPr>
  </w:style>
  <w:style w:type="table" w:customStyle="1" w:styleId="202">
    <w:name w:val="List Table 2 Accent 5"/>
    <w:basedOn w:val="35"/>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3">
    <w:name w:val="List Table 1 Light Accent 5"/>
    <w:basedOn w:val="35"/>
    <w:autoRedefine/>
    <w:qFormat/>
    <w:uiPriority w:val="46"/>
    <w:tblPr>
      <w:tblCellMar>
        <w:top w:w="0" w:type="dxa"/>
        <w:left w:w="108" w:type="dxa"/>
        <w:bottom w:w="0" w:type="dxa"/>
        <w:right w:w="108" w:type="dxa"/>
      </w:tblCellMar>
    </w:tblPr>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4">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5">
    <w:name w:val="Unresolved Mention"/>
    <w:basedOn w:val="68"/>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chart" Target="charts/chart4.xml"/><Relationship Id="rId16" Type="http://schemas.openxmlformats.org/officeDocument/2006/relationships/chart" Target="charts/chart3.xml"/><Relationship Id="rId15" Type="http://schemas.openxmlformats.org/officeDocument/2006/relationships/chart" Target="charts/chart2.xml"/><Relationship Id="rId14" Type="http://schemas.openxmlformats.org/officeDocument/2006/relationships/image" Target="media/image7.png"/><Relationship Id="rId13" Type="http://schemas.openxmlformats.org/officeDocument/2006/relationships/chart" Target="charts/chart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95%-98%</c:v>
                </c:pt>
              </c:strCache>
            </c:strRef>
          </c:tx>
          <c:spPr>
            <a:solidFill>
              <a:srgbClr val="002060"/>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分类!$B$2:$M$2</c:f>
              <c:numCache>
                <c:formatCode>#,##0_);[Red]\(#,##0\)</c:formatCode>
                <c:ptCount val="12"/>
                <c:pt idx="0">
                  <c:v>710.3</c:v>
                </c:pt>
                <c:pt idx="1">
                  <c:v>694.3</c:v>
                </c:pt>
                <c:pt idx="2">
                  <c:v>665.68</c:v>
                </c:pt>
                <c:pt idx="3">
                  <c:v>702.41</c:v>
                </c:pt>
                <c:pt idx="4">
                  <c:v>711.54</c:v>
                </c:pt>
                <c:pt idx="5">
                  <c:v>729.86</c:v>
                </c:pt>
                <c:pt idx="6">
                  <c:v>765.68</c:v>
                </c:pt>
                <c:pt idx="7">
                  <c:v>793.07</c:v>
                </c:pt>
                <c:pt idx="8">
                  <c:v>817.14</c:v>
                </c:pt>
                <c:pt idx="9">
                  <c:v>842</c:v>
                </c:pt>
                <c:pt idx="10">
                  <c:v>877.09</c:v>
                </c:pt>
                <c:pt idx="11">
                  <c:v>908.521</c:v>
                </c:pt>
              </c:numCache>
            </c:numRef>
          </c:val>
        </c:ser>
        <c:ser>
          <c:idx val="1"/>
          <c:order val="1"/>
          <c:tx>
            <c:strRef>
              <c:f>分类!$A$3</c:f>
              <c:strCache>
                <c:ptCount val="1"/>
                <c:pt idx="0">
                  <c:v>高于 98%</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分类!$B$3:$M$3</c:f>
              <c:numCache>
                <c:formatCode>#,##0_);[Red]\(#,##0\)</c:formatCode>
                <c:ptCount val="12"/>
                <c:pt idx="0">
                  <c:v>136.29</c:v>
                </c:pt>
                <c:pt idx="1">
                  <c:v>132.65</c:v>
                </c:pt>
                <c:pt idx="2">
                  <c:v>124.64</c:v>
                </c:pt>
                <c:pt idx="3">
                  <c:v>129.96</c:v>
                </c:pt>
                <c:pt idx="4">
                  <c:v>129.49</c:v>
                </c:pt>
                <c:pt idx="5">
                  <c:v>130.93</c:v>
                </c:pt>
                <c:pt idx="6">
                  <c:v>134.96</c:v>
                </c:pt>
                <c:pt idx="7">
                  <c:v>136.66</c:v>
                </c:pt>
                <c:pt idx="8">
                  <c:v>137.41</c:v>
                </c:pt>
                <c:pt idx="9">
                  <c:v>139.09</c:v>
                </c:pt>
                <c:pt idx="10">
                  <c:v>145.89</c:v>
                </c:pt>
                <c:pt idx="11">
                  <c:v>153.69336363636</c:v>
                </c:pt>
              </c:numCache>
            </c:numRef>
          </c:val>
        </c:ser>
        <c:dLbls>
          <c:showLegendKey val="0"/>
          <c:showVal val="0"/>
          <c:showCatName val="0"/>
          <c:showSerName val="0"/>
          <c:showPercent val="0"/>
          <c:showBubbleSize val="0"/>
        </c:dLbls>
        <c:gapWidth val="25"/>
        <c:overlap val="100"/>
        <c:axId val="43074304"/>
        <c:axId val="43076224"/>
      </c:barChart>
      <c:lineChart>
        <c:grouping val="stacked"/>
        <c:varyColors val="0"/>
        <c:ser>
          <c:idx val="9"/>
          <c:order val="2"/>
          <c:tx>
            <c:strRef>
              <c:f>分类!$A$11</c:f>
              <c:strCache>
                <c:ptCount val="1"/>
                <c:pt idx="0">
                  <c:v>合计</c:v>
                </c:pt>
              </c:strCache>
            </c:strRef>
          </c:tx>
          <c:spPr>
            <a:ln w="28575" cap="rnd" cmpd="sng" algn="ctr">
              <a:solidFill>
                <a:srgbClr val="002060"/>
              </a:solidFill>
              <a:prstDash val="solid"/>
              <a:round/>
            </a:ln>
            <a:effectLst/>
          </c:spPr>
          <c:marker>
            <c:symbol val="diamond"/>
            <c:size val="8"/>
            <c:spPr>
              <a:solidFill>
                <a:srgbClr val="FFC000"/>
              </a:solidFill>
              <a:ln w="9525" cap="flat" cmpd="sng" algn="ctr">
                <a:solidFill>
                  <a:schemeClr val="accent4">
                    <a:lumMod val="60000"/>
                  </a:schemeClr>
                </a:solidFill>
                <a:prstDash val="solid"/>
                <a:round/>
              </a:ln>
              <a:effectLst/>
            </c:spPr>
          </c:marker>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分类!$B$11:$M$11</c:f>
              <c:numCache>
                <c:formatCode>#,##0_);[Red]\(#,##0\)</c:formatCode>
                <c:ptCount val="12"/>
                <c:pt idx="0">
                  <c:v>846.59</c:v>
                </c:pt>
                <c:pt idx="1">
                  <c:v>826.95</c:v>
                </c:pt>
                <c:pt idx="2">
                  <c:v>790.32</c:v>
                </c:pt>
                <c:pt idx="3">
                  <c:v>832.37</c:v>
                </c:pt>
                <c:pt idx="4">
                  <c:v>841.03</c:v>
                </c:pt>
                <c:pt idx="5">
                  <c:v>860.79</c:v>
                </c:pt>
                <c:pt idx="6">
                  <c:v>900.64</c:v>
                </c:pt>
                <c:pt idx="7">
                  <c:v>929.73</c:v>
                </c:pt>
                <c:pt idx="8">
                  <c:v>954.55</c:v>
                </c:pt>
                <c:pt idx="9">
                  <c:v>981.09</c:v>
                </c:pt>
                <c:pt idx="10">
                  <c:v>1022.98</c:v>
                </c:pt>
                <c:pt idx="11">
                  <c:v>1062.21436363636</c:v>
                </c:pt>
              </c:numCache>
            </c:numRef>
          </c:val>
          <c:smooth val="0"/>
        </c:ser>
        <c:dLbls>
          <c:showLegendKey val="0"/>
          <c:showVal val="0"/>
          <c:showCatName val="0"/>
          <c:showSerName val="0"/>
          <c:showPercent val="0"/>
          <c:showBubbleSize val="0"/>
        </c:dLbls>
        <c:marker val="1"/>
        <c:smooth val="0"/>
        <c:axId val="43079552"/>
        <c:axId val="43078016"/>
      </c:lineChart>
      <c:catAx>
        <c:axId val="43074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3076224"/>
        <c:crosses val="autoZero"/>
        <c:auto val="1"/>
        <c:lblAlgn val="ctr"/>
        <c:lblOffset val="100"/>
        <c:noMultiLvlLbl val="0"/>
      </c:catAx>
      <c:valAx>
        <c:axId val="43076224"/>
        <c:scaling>
          <c:orientation val="minMax"/>
        </c:scaling>
        <c:delete val="0"/>
        <c:axPos val="l"/>
        <c:majorGridlines>
          <c:spPr>
            <a:ln w="9525" cap="flat" cmpd="sng" algn="ctr">
              <a:noFill/>
              <a:prstDash val="solid"/>
              <a:round/>
            </a:ln>
            <a:effectLst/>
          </c:spPr>
        </c:majorGridlines>
        <c:numFmt formatCode="#,##0_);[Red]\(#,##0\)" sourceLinked="0"/>
        <c:majorTickMark val="none"/>
        <c:minorTickMark val="none"/>
        <c:tickLblPos val="none"/>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3074304"/>
        <c:crosses val="autoZero"/>
        <c:crossBetween val="between"/>
      </c:valAx>
      <c:catAx>
        <c:axId val="4307955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3078016"/>
        <c:crosses val="autoZero"/>
        <c:auto val="1"/>
        <c:lblAlgn val="ctr"/>
        <c:lblOffset val="100"/>
        <c:noMultiLvlLbl val="0"/>
      </c:catAx>
      <c:valAx>
        <c:axId val="43078016"/>
        <c:scaling>
          <c:orientation val="minMax"/>
        </c:scaling>
        <c:delete val="0"/>
        <c:axPos val="r"/>
        <c:numFmt formatCode="0.0%" sourceLinked="0"/>
        <c:majorTickMark val="out"/>
        <c:minorTickMark val="none"/>
        <c:tickLblPos val="none"/>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3079552"/>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制药</c:v>
                </c:pt>
              </c:strCache>
            </c:strRef>
          </c:tx>
          <c:spPr>
            <a:solidFill>
              <a:srgbClr val="00206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#,##0_);[Red]\(#,##0\)</c:formatCode>
                <c:ptCount val="12"/>
                <c:pt idx="0">
                  <c:v>522.5</c:v>
                </c:pt>
                <c:pt idx="1">
                  <c:v>500.5</c:v>
                </c:pt>
                <c:pt idx="2">
                  <c:v>474.3</c:v>
                </c:pt>
                <c:pt idx="3">
                  <c:v>505.4</c:v>
                </c:pt>
                <c:pt idx="4">
                  <c:v>518.3</c:v>
                </c:pt>
                <c:pt idx="5">
                  <c:v>535.3</c:v>
                </c:pt>
                <c:pt idx="6">
                  <c:v>553.4</c:v>
                </c:pt>
                <c:pt idx="7">
                  <c:v>584.3</c:v>
                </c:pt>
                <c:pt idx="8">
                  <c:v>595.1</c:v>
                </c:pt>
                <c:pt idx="9">
                  <c:v>616.7</c:v>
                </c:pt>
                <c:pt idx="10">
                  <c:v>649.4</c:v>
                </c:pt>
                <c:pt idx="11">
                  <c:v>666.153333333333</c:v>
                </c:pt>
              </c:numCache>
            </c:numRef>
          </c:val>
        </c:ser>
        <c:ser>
          <c:idx val="1"/>
          <c:order val="1"/>
          <c:tx>
            <c:strRef>
              <c:f>应用!$A$3</c:f>
              <c:strCache>
                <c:ptCount val="1"/>
                <c:pt idx="0">
                  <c:v>其他</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#,##0_);[Red]\(#,##0\)</c:formatCode>
                <c:ptCount val="12"/>
                <c:pt idx="0">
                  <c:v>27.3</c:v>
                </c:pt>
                <c:pt idx="1">
                  <c:v>26</c:v>
                </c:pt>
                <c:pt idx="2">
                  <c:v>24.7</c:v>
                </c:pt>
                <c:pt idx="3">
                  <c:v>25.9</c:v>
                </c:pt>
                <c:pt idx="4">
                  <c:v>26.4</c:v>
                </c:pt>
                <c:pt idx="5">
                  <c:v>27.5</c:v>
                </c:pt>
                <c:pt idx="6">
                  <c:v>28.9</c:v>
                </c:pt>
                <c:pt idx="7">
                  <c:v>31.1</c:v>
                </c:pt>
                <c:pt idx="8">
                  <c:v>31.5</c:v>
                </c:pt>
                <c:pt idx="9">
                  <c:v>32.9</c:v>
                </c:pt>
                <c:pt idx="10">
                  <c:v>35</c:v>
                </c:pt>
                <c:pt idx="11">
                  <c:v>36.14</c:v>
                </c:pt>
              </c:numCache>
            </c:numRef>
          </c:val>
        </c:ser>
        <c:dLbls>
          <c:showLegendKey val="0"/>
          <c:showVal val="0"/>
          <c:showCatName val="0"/>
          <c:showSerName val="0"/>
          <c:showPercent val="0"/>
          <c:showBubbleSize val="0"/>
        </c:dLbls>
        <c:gapWidth val="25"/>
        <c:overlap val="100"/>
        <c:axId val="43238912"/>
        <c:axId val="43240832"/>
      </c:barChart>
      <c:lineChart>
        <c:grouping val="stacked"/>
        <c:varyColors val="0"/>
        <c:ser>
          <c:idx val="9"/>
          <c:order val="2"/>
          <c:tx>
            <c:strRef>
              <c:f>应用!$A$11</c:f>
              <c:strCache>
                <c:ptCount val="1"/>
                <c:pt idx="0">
                  <c:v>合计</c:v>
                </c:pt>
              </c:strCache>
            </c:strRef>
          </c:tx>
          <c:spPr>
            <a:ln w="28575" cap="rnd" cmpd="sng" algn="ctr">
              <a:solidFill>
                <a:srgbClr val="002060"/>
              </a:solidFill>
              <a:prstDash val="solid"/>
              <a:round/>
            </a:ln>
            <a:effectLst/>
          </c:spPr>
          <c:marker>
            <c:symbol val="diamond"/>
            <c:size val="8"/>
            <c:spPr>
              <a:solidFill>
                <a:srgbClr val="FFC000"/>
              </a:solidFill>
              <a:ln w="9525" cap="flat" cmpd="sng" algn="ctr">
                <a:solidFill>
                  <a:schemeClr val="accent4">
                    <a:lumMod val="60000"/>
                  </a:schemeClr>
                </a:solidFill>
                <a:prstDash val="solid"/>
                <a:round/>
              </a:ln>
              <a:effectLst/>
            </c:spPr>
          </c:marker>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应用!$B$11:$M$11</c:f>
              <c:numCache>
                <c:formatCode>#,##0_);[Red]\(#,##0\)</c:formatCode>
                <c:ptCount val="12"/>
                <c:pt idx="0">
                  <c:v>549.8</c:v>
                </c:pt>
                <c:pt idx="1">
                  <c:v>526.5</c:v>
                </c:pt>
                <c:pt idx="2">
                  <c:v>499</c:v>
                </c:pt>
                <c:pt idx="3">
                  <c:v>531.3</c:v>
                </c:pt>
                <c:pt idx="4">
                  <c:v>544.7</c:v>
                </c:pt>
                <c:pt idx="5">
                  <c:v>562.8</c:v>
                </c:pt>
                <c:pt idx="6">
                  <c:v>582.3</c:v>
                </c:pt>
                <c:pt idx="7">
                  <c:v>615.4</c:v>
                </c:pt>
                <c:pt idx="8">
                  <c:v>626.6</c:v>
                </c:pt>
                <c:pt idx="9">
                  <c:v>649.6</c:v>
                </c:pt>
                <c:pt idx="10">
                  <c:v>684.4</c:v>
                </c:pt>
                <c:pt idx="11">
                  <c:v>702.293333333333</c:v>
                </c:pt>
              </c:numCache>
            </c:numRef>
          </c:val>
          <c:smooth val="0"/>
        </c:ser>
        <c:dLbls>
          <c:showLegendKey val="0"/>
          <c:showVal val="0"/>
          <c:showCatName val="0"/>
          <c:showSerName val="0"/>
          <c:showPercent val="0"/>
          <c:showBubbleSize val="0"/>
        </c:dLbls>
        <c:marker val="1"/>
        <c:smooth val="0"/>
        <c:axId val="43244160"/>
        <c:axId val="43242624"/>
      </c:lineChart>
      <c:catAx>
        <c:axId val="43238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3240832"/>
        <c:crosses val="autoZero"/>
        <c:auto val="1"/>
        <c:lblAlgn val="ctr"/>
        <c:lblOffset val="100"/>
        <c:noMultiLvlLbl val="0"/>
      </c:catAx>
      <c:valAx>
        <c:axId val="43240832"/>
        <c:scaling>
          <c:orientation val="minMax"/>
        </c:scaling>
        <c:delete val="0"/>
        <c:axPos val="l"/>
        <c:majorGridlines>
          <c:spPr>
            <a:ln w="9525" cap="flat" cmpd="sng" algn="ctr">
              <a:noFill/>
              <a:prstDash val="solid"/>
              <a:round/>
            </a:ln>
            <a:effectLst/>
          </c:spPr>
        </c:majorGridlines>
        <c:numFmt formatCode="#,##0_);[Red]\(#,##0\)" sourceLinked="0"/>
        <c:majorTickMark val="none"/>
        <c:minorTickMark val="none"/>
        <c:tickLblPos val="none"/>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3238912"/>
        <c:crosses val="autoZero"/>
        <c:crossBetween val="between"/>
      </c:valAx>
      <c:catAx>
        <c:axId val="4324416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3242624"/>
        <c:crosses val="autoZero"/>
        <c:auto val="1"/>
        <c:lblAlgn val="ctr"/>
        <c:lblOffset val="100"/>
        <c:noMultiLvlLbl val="0"/>
      </c:catAx>
      <c:valAx>
        <c:axId val="43242624"/>
        <c:scaling>
          <c:orientation val="minMax"/>
        </c:scaling>
        <c:delete val="0"/>
        <c:axPos val="r"/>
        <c:numFmt formatCode="0.0%" sourceLinked="0"/>
        <c:majorTickMark val="out"/>
        <c:minorTickMark val="none"/>
        <c:tickLblPos val="none"/>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324416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percentStacked"/>
        <c:varyColors val="0"/>
        <c:ser>
          <c:idx val="0"/>
          <c:order val="0"/>
          <c:tx>
            <c:strRef>
              <c:f>'地区-生产'!$A$2</c:f>
              <c:strCache>
                <c:ptCount val="1"/>
                <c:pt idx="0">
                  <c:v>北美</c:v>
                </c:pt>
              </c:strCache>
            </c:strRef>
          </c:tx>
          <c:spPr>
            <a:solidFill>
              <a:srgbClr val="00206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'地区-生产'!$B$2:$M$2</c:f>
              <c:numCache>
                <c:formatCode>#,##0_);[Red]\(#,##0\)</c:formatCode>
                <c:ptCount val="12"/>
                <c:pt idx="0">
                  <c:v>104</c:v>
                </c:pt>
                <c:pt idx="1">
                  <c:v>97.9</c:v>
                </c:pt>
                <c:pt idx="2">
                  <c:v>91.4</c:v>
                </c:pt>
                <c:pt idx="3">
                  <c:v>99.4999999999999</c:v>
                </c:pt>
                <c:pt idx="4">
                  <c:v>103.1</c:v>
                </c:pt>
                <c:pt idx="5">
                  <c:v>108.9</c:v>
                </c:pt>
                <c:pt idx="6">
                  <c:v>112.9</c:v>
                </c:pt>
                <c:pt idx="7">
                  <c:v>116.5</c:v>
                </c:pt>
                <c:pt idx="8">
                  <c:v>117.7</c:v>
                </c:pt>
                <c:pt idx="9">
                  <c:v>115.7</c:v>
                </c:pt>
                <c:pt idx="10">
                  <c:v>123.3</c:v>
                </c:pt>
                <c:pt idx="11">
                  <c:v>125.3</c:v>
                </c:pt>
              </c:numCache>
            </c:numRef>
          </c:val>
        </c:ser>
        <c:ser>
          <c:idx val="1"/>
          <c:order val="1"/>
          <c:tx>
            <c:strRef>
              <c:f>'地区-生产'!$A$3</c:f>
              <c:strCache>
                <c:ptCount val="1"/>
                <c:pt idx="0">
                  <c:v>欧洲</c:v>
                </c:pt>
              </c:strCache>
            </c:strRef>
          </c:tx>
          <c:spPr>
            <a:solidFill>
              <a:schemeClr val="bg1">
                <a:lumMod val="5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'地区-生产'!$B$3:$M$3</c:f>
              <c:numCache>
                <c:formatCode>#,##0_);[Red]\(#,##0\)</c:formatCode>
                <c:ptCount val="12"/>
                <c:pt idx="0">
                  <c:v>84.1</c:v>
                </c:pt>
                <c:pt idx="1">
                  <c:v>80.1</c:v>
                </c:pt>
                <c:pt idx="2">
                  <c:v>75.2</c:v>
                </c:pt>
                <c:pt idx="3">
                  <c:v>80.7</c:v>
                </c:pt>
                <c:pt idx="4">
                  <c:v>80.6</c:v>
                </c:pt>
                <c:pt idx="5">
                  <c:v>82.6</c:v>
                </c:pt>
                <c:pt idx="6">
                  <c:v>84.7</c:v>
                </c:pt>
                <c:pt idx="7">
                  <c:v>90.2</c:v>
                </c:pt>
                <c:pt idx="8">
                  <c:v>90.5</c:v>
                </c:pt>
                <c:pt idx="9">
                  <c:v>92.3</c:v>
                </c:pt>
                <c:pt idx="10">
                  <c:v>97.5</c:v>
                </c:pt>
                <c:pt idx="11">
                  <c:v>99.1857142857143</c:v>
                </c:pt>
              </c:numCache>
            </c:numRef>
          </c:val>
        </c:ser>
        <c:ser>
          <c:idx val="2"/>
          <c:order val="2"/>
          <c:tx>
            <c:strRef>
              <c:f>'地区-生产'!$A$4</c:f>
              <c:strCache>
                <c:ptCount val="1"/>
                <c:pt idx="0">
                  <c:v>亚太</c:v>
                </c:pt>
              </c:strCache>
            </c:strRef>
          </c:tx>
          <c:spPr>
            <a:solidFill>
              <a:srgbClr val="0070C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'地区-生产'!$B$4:$M$4</c:f>
              <c:numCache>
                <c:formatCode>#,##0_);[Red]\(#,##0\)</c:formatCode>
                <c:ptCount val="12"/>
                <c:pt idx="0">
                  <c:v>340.6</c:v>
                </c:pt>
                <c:pt idx="1">
                  <c:v>328.5</c:v>
                </c:pt>
                <c:pt idx="2">
                  <c:v>313.7</c:v>
                </c:pt>
                <c:pt idx="3">
                  <c:v>331.1</c:v>
                </c:pt>
                <c:pt idx="4">
                  <c:v>340.7</c:v>
                </c:pt>
                <c:pt idx="5">
                  <c:v>350.8</c:v>
                </c:pt>
                <c:pt idx="6">
                  <c:v>363.6</c:v>
                </c:pt>
                <c:pt idx="7">
                  <c:v>386.8</c:v>
                </c:pt>
                <c:pt idx="8">
                  <c:v>396.8</c:v>
                </c:pt>
                <c:pt idx="9">
                  <c:v>420.2</c:v>
                </c:pt>
                <c:pt idx="10">
                  <c:v>441.6</c:v>
                </c:pt>
                <c:pt idx="11">
                  <c:v>455.6</c:v>
                </c:pt>
              </c:numCache>
            </c:numRef>
          </c:val>
        </c:ser>
        <c:ser>
          <c:idx val="3"/>
          <c:order val="3"/>
          <c:tx>
            <c:strRef>
              <c:f>'地区-生产'!$A$5</c:f>
              <c:strCache>
                <c:ptCount val="1"/>
                <c:pt idx="0">
                  <c:v>南美</c:v>
                </c:pt>
              </c:strCache>
            </c:strRef>
          </c:tx>
          <c:spPr>
            <a:solidFill>
              <a:srgbClr val="FFC00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'地区-生产'!$B$5:$M$5</c:f>
              <c:numCache>
                <c:formatCode>#,##0_);[Red]\(#,##0\)</c:formatCode>
                <c:ptCount val="12"/>
                <c:pt idx="0">
                  <c:v>13.3</c:v>
                </c:pt>
                <c:pt idx="1">
                  <c:v>12.4</c:v>
                </c:pt>
                <c:pt idx="2">
                  <c:v>11.8</c:v>
                </c:pt>
                <c:pt idx="3">
                  <c:v>12.5</c:v>
                </c:pt>
                <c:pt idx="4">
                  <c:v>12.7</c:v>
                </c:pt>
                <c:pt idx="5">
                  <c:v>12.9</c:v>
                </c:pt>
                <c:pt idx="6">
                  <c:v>13</c:v>
                </c:pt>
                <c:pt idx="7">
                  <c:v>13.4</c:v>
                </c:pt>
                <c:pt idx="8">
                  <c:v>13.1</c:v>
                </c:pt>
                <c:pt idx="9">
                  <c:v>13.1</c:v>
                </c:pt>
                <c:pt idx="10">
                  <c:v>13.6</c:v>
                </c:pt>
                <c:pt idx="11">
                  <c:v>13.5714285714286</c:v>
                </c:pt>
              </c:numCache>
            </c:numRef>
          </c:val>
        </c:ser>
        <c:ser>
          <c:idx val="4"/>
          <c:order val="4"/>
          <c:tx>
            <c:strRef>
              <c:f>'地区-生产'!$A$6</c:f>
              <c:strCache>
                <c:ptCount val="1"/>
                <c:pt idx="0">
                  <c:v>中东和非洲</c:v>
                </c:pt>
              </c:strCache>
            </c:strRef>
          </c:tx>
          <c:spPr>
            <a:solidFill>
              <a:schemeClr val="tx1">
                <a:lumMod val="65000"/>
                <a:lumOff val="3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'地区-生产'!$B$6:$M$6</c:f>
              <c:numCache>
                <c:formatCode>#,##0_);[Red]\(#,##0\)</c:formatCode>
                <c:ptCount val="12"/>
                <c:pt idx="0">
                  <c:v>7.8</c:v>
                </c:pt>
                <c:pt idx="1">
                  <c:v>7.6</c:v>
                </c:pt>
                <c:pt idx="2">
                  <c:v>6.9</c:v>
                </c:pt>
                <c:pt idx="3">
                  <c:v>7.5</c:v>
                </c:pt>
                <c:pt idx="4">
                  <c:v>7.6</c:v>
                </c:pt>
                <c:pt idx="5">
                  <c:v>7.6</c:v>
                </c:pt>
                <c:pt idx="6">
                  <c:v>8.1</c:v>
                </c:pt>
                <c:pt idx="7">
                  <c:v>8.5</c:v>
                </c:pt>
                <c:pt idx="8">
                  <c:v>8.5</c:v>
                </c:pt>
                <c:pt idx="9">
                  <c:v>8.3</c:v>
                </c:pt>
                <c:pt idx="10">
                  <c:v>8.4</c:v>
                </c:pt>
                <c:pt idx="11">
                  <c:v>8.60545454545455</c:v>
                </c:pt>
              </c:numCache>
            </c:numRef>
          </c:val>
        </c:ser>
        <c:dLbls>
          <c:showLegendKey val="0"/>
          <c:showVal val="0"/>
          <c:showCatName val="0"/>
          <c:showSerName val="0"/>
          <c:showPercent val="0"/>
          <c:showBubbleSize val="0"/>
        </c:dLbls>
        <c:gapWidth val="45"/>
        <c:overlap val="100"/>
        <c:axId val="43479040"/>
        <c:axId val="43480576"/>
      </c:barChart>
      <c:catAx>
        <c:axId val="43479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3480576"/>
        <c:crosses val="autoZero"/>
        <c:auto val="1"/>
        <c:lblAlgn val="ctr"/>
        <c:lblOffset val="100"/>
        <c:noMultiLvlLbl val="0"/>
      </c:catAx>
      <c:valAx>
        <c:axId val="43480576"/>
        <c:scaling>
          <c:orientation val="minMax"/>
        </c:scaling>
        <c:delete val="0"/>
        <c:axPos val="l"/>
        <c:majorGridlines>
          <c:spPr>
            <a:ln w="9525" cap="flat" cmpd="sng" algn="ctr">
              <a:noFill/>
              <a:prstDash val="solid"/>
              <a:round/>
            </a:ln>
            <a:effectLst/>
          </c:spPr>
        </c:majorGridlines>
        <c:numFmt formatCode="0%" sourceLinked="1"/>
        <c:majorTickMark val="none"/>
        <c:minorTickMark val="none"/>
        <c:tickLblPos val="none"/>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34790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'地区-生产'!$AF$1</c:f>
              <c:strCache>
                <c:ptCount val="1"/>
                <c:pt idx="0">
                  <c:v>2022</c:v>
                </c:pt>
              </c:strCache>
            </c:strRef>
          </c:tx>
          <c:spPr>
            <a:solidFill>
              <a:srgbClr val="FFC000"/>
            </a:solidFill>
            <a:ln>
              <a:noFill/>
            </a:ln>
            <a:effectLst/>
          </c:spPr>
          <c:invertIfNegative val="0"/>
          <c:dLbls>
            <c:delete val="1"/>
          </c:dLbls>
          <c:cat>
            <c:strRef>
              <c:f>'地区-生产'!$AD$2:$AD$6</c:f>
              <c:strCache>
                <c:ptCount val="5"/>
                <c:pt idx="0">
                  <c:v>北美</c:v>
                </c:pt>
                <c:pt idx="1">
                  <c:v>欧洲</c:v>
                </c:pt>
                <c:pt idx="2">
                  <c:v>亚太</c:v>
                </c:pt>
                <c:pt idx="3">
                  <c:v>南美</c:v>
                </c:pt>
                <c:pt idx="4">
                  <c:v>中东和非洲</c:v>
                </c:pt>
              </c:strCache>
            </c:strRef>
          </c:cat>
          <c:val>
            <c:numRef>
              <c:f>'地区-生产'!$AF$2:$AF$6</c:f>
              <c:numCache>
                <c:formatCode>#,##0_);[Red]\(#,##0\)</c:formatCode>
                <c:ptCount val="5"/>
                <c:pt idx="0">
                  <c:v>103.1</c:v>
                </c:pt>
                <c:pt idx="1">
                  <c:v>80.6</c:v>
                </c:pt>
                <c:pt idx="2">
                  <c:v>340.7</c:v>
                </c:pt>
                <c:pt idx="3">
                  <c:v>12.7</c:v>
                </c:pt>
                <c:pt idx="4">
                  <c:v>7.6</c:v>
                </c:pt>
              </c:numCache>
            </c:numRef>
          </c:val>
        </c:ser>
        <c:ser>
          <c:idx val="1"/>
          <c:order val="1"/>
          <c:tx>
            <c:strRef>
              <c:f>'地区-生产'!$AG$1</c:f>
              <c:strCache>
                <c:ptCount val="1"/>
                <c:pt idx="0">
                  <c:v>2029</c:v>
                </c:pt>
              </c:strCache>
            </c:strRef>
          </c:tx>
          <c:spPr>
            <a:solidFill>
              <a:schemeClr val="bg1">
                <a:lumMod val="50000"/>
              </a:schemeClr>
            </a:solidFill>
            <a:ln>
              <a:noFill/>
            </a:ln>
            <a:effectLst/>
          </c:spPr>
          <c:invertIfNegative val="0"/>
          <c:dLbls>
            <c:delete val="1"/>
          </c:dLbls>
          <c:cat>
            <c:strRef>
              <c:f>'地区-生产'!$AD$2:$AD$6</c:f>
              <c:strCache>
                <c:ptCount val="5"/>
                <c:pt idx="0">
                  <c:v>北美</c:v>
                </c:pt>
                <c:pt idx="1">
                  <c:v>欧洲</c:v>
                </c:pt>
                <c:pt idx="2">
                  <c:v>亚太</c:v>
                </c:pt>
                <c:pt idx="3">
                  <c:v>南美</c:v>
                </c:pt>
                <c:pt idx="4">
                  <c:v>中东和非洲</c:v>
                </c:pt>
              </c:strCache>
            </c:strRef>
          </c:cat>
          <c:val>
            <c:numRef>
              <c:f>'地区-生产'!$AG$2:$AG$6</c:f>
              <c:numCache>
                <c:formatCode>#,##0_);[Red]\(#,##0\)</c:formatCode>
                <c:ptCount val="5"/>
                <c:pt idx="0">
                  <c:v>125.3</c:v>
                </c:pt>
                <c:pt idx="1">
                  <c:v>99.1857142857143</c:v>
                </c:pt>
                <c:pt idx="2">
                  <c:v>455.6</c:v>
                </c:pt>
                <c:pt idx="3">
                  <c:v>13.5714285714286</c:v>
                </c:pt>
                <c:pt idx="4">
                  <c:v>8.60545454545455</c:v>
                </c:pt>
              </c:numCache>
            </c:numRef>
          </c:val>
        </c:ser>
        <c:dLbls>
          <c:showLegendKey val="0"/>
          <c:showVal val="0"/>
          <c:showCatName val="0"/>
          <c:showSerName val="0"/>
          <c:showPercent val="0"/>
          <c:showBubbleSize val="0"/>
        </c:dLbls>
        <c:gapWidth val="75"/>
        <c:axId val="253852672"/>
        <c:axId val="253858560"/>
      </c:barChart>
      <c:catAx>
        <c:axId val="253852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3858560"/>
        <c:crosses val="autoZero"/>
        <c:auto val="1"/>
        <c:lblAlgn val="ctr"/>
        <c:lblOffset val="100"/>
        <c:noMultiLvlLbl val="0"/>
      </c:catAx>
      <c:valAx>
        <c:axId val="253858560"/>
        <c:scaling>
          <c:orientation val="minMax"/>
        </c:scaling>
        <c:delete val="0"/>
        <c:axPos val="l"/>
        <c:majorGridlines>
          <c:spPr>
            <a:ln w="9525" cap="flat" cmpd="sng" algn="ctr">
              <a:noFill/>
              <a:prstDash val="solid"/>
              <a:round/>
            </a:ln>
            <a:effectLst/>
          </c:spPr>
        </c:majorGridlines>
        <c:numFmt formatCode="#,##0_);[Red]\(#,##0\)" sourceLinked="1"/>
        <c:majorTickMark val="none"/>
        <c:minorTickMark val="none"/>
        <c:tickLblPos val="none"/>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385267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176868-67FD-4965-AD8A-146043F3D8A1}">
  <ds:schemaRefs/>
</ds:datastoreItem>
</file>

<file path=docProps/app.xml><?xml version="1.0" encoding="utf-8"?>
<Properties xmlns="http://schemas.openxmlformats.org/officeDocument/2006/extended-properties" xmlns:vt="http://schemas.openxmlformats.org/officeDocument/2006/docPropsVTypes">
  <Template>Normal</Template>
  <Pages>6</Pages>
  <Words>219</Words>
  <Characters>1252</Characters>
  <Lines>10</Lines>
  <Paragraphs>2</Paragraphs>
  <TotalTime>1</TotalTime>
  <ScaleCrop>false</ScaleCrop>
  <LinksUpToDate>false</LinksUpToDate>
  <CharactersWithSpaces>1469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2024-02-23T04:21:59Z</dcterms:modified>
  <cp:revision>817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B2EEE49F41154BF18EFE96CF5C1EDC09_13</vt:lpwstr>
  </property>
</Properties>
</file>