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olors1.xml" ContentType="application/vnd.ms-office.chartcolorstyle+xml"/>
  <Override PartName="/word/charts/style1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5" w:type="firs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  <w:bookmarkStart w:id="14" w:name="_GoBack"/>
      <w:bookmarkEnd w:id="14"/>
      <w:bookmarkStart w:id="0" w:name="_Toc517262917"/>
      <w:bookmarkStart w:id="1" w:name="_Toc438987549"/>
      <w:bookmarkStart w:id="2" w:name="OLE_LINK13"/>
      <w:bookmarkStart w:id="3" w:name="_Toc415143481"/>
      <w:bookmarkStart w:id="4" w:name="OLE_LINK39"/>
      <w:bookmarkStart w:id="5" w:name="OLE_LINK24"/>
      <w:bookmarkStart w:id="6" w:name="_Toc415142861"/>
      <w:bookmarkStart w:id="7" w:name="_Toc415818939"/>
      <w:bookmarkStart w:id="8" w:name="OLE_LINK15"/>
      <w:bookmarkStart w:id="9" w:name="_Hlk23501351"/>
      <w:bookmarkStart w:id="10" w:name="_Toc418070112"/>
      <w:bookmarkStart w:id="11" w:name="_Toc453597319"/>
      <w:bookmarkStart w:id="12" w:name="_Toc481801204"/>
      <w:bookmarkStart w:id="13" w:name="OLE_LINK40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255905</wp:posOffset>
                </wp:positionH>
                <wp:positionV relativeFrom="paragraph">
                  <wp:posOffset>1416050</wp:posOffset>
                </wp:positionV>
                <wp:extent cx="5761990" cy="2085975"/>
                <wp:effectExtent l="0" t="0" r="10160" b="9525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1635" y="2068195"/>
                          <a:ext cx="5761990" cy="2085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widowControl/>
                              <w:topLinePunct w:val="0"/>
                              <w:jc w:val="both"/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全球及中国特种氧化铝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begin"/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instrText xml:space="preserve"> HYPERLINK "https://www.renrendoc.com/paper/299540813.html" \t "https://www.renrendoc.com/renrendoc_v1/MCBookList/_blank" </w:instrTex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separate"/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行业市场份额调研报告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.15pt;margin-top:111.5pt;height:164.25pt;width:453.7pt;z-index:251661312;mso-width-relative:page;mso-height-relative:page;" fillcolor="#FFFFFF [3201]" filled="t" stroked="f" coordsize="21600,21600" o:gfxdata="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D1&#10;Cs/Q1wAAAAoBAAAPAAAAAAAAAAEAIAAAACIAAABkcnMvZG93bnJldi54bWxQSwECFAAUAAAACACH&#10;TuJA76NZW14CAACeBAAADgAAAAAAAAABACAAAAAmAQAAZHJzL2Uyb0RvYy54bWxQSwUGAAAAAAYA&#10;BgBZAQAA9g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widowControl/>
                        <w:topLinePunct w:val="0"/>
                        <w:jc w:val="both"/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全球及中国特种氧化铝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begin"/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instrText xml:space="preserve"> HYPERLINK "https://www.renrendoc.com/paper/299540813.html" \t "https://www.renrendoc.com/renrendoc_v1/MCBookList/_blank" </w:instrTex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separate"/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行业市场份额调研报告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-881380</wp:posOffset>
            </wp:positionV>
            <wp:extent cx="7560310" cy="10690225"/>
            <wp:effectExtent l="0" t="0" r="2540" b="15875"/>
            <wp:wrapNone/>
            <wp:docPr id="3" name="图片 3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协议封面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ind w:firstLine="440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lang w:eastAsia="zh-CN"/>
        </w:rPr>
        <w:t>特种氧化铝是以工业氢氧化铝或Y-氧化铝为原料，添加无硼矿化剂，在适当的温度下煅烧成原晶尺寸合适、晶型稳定的</w:t>
      </w:r>
      <w:r>
        <w:rPr>
          <w:rFonts w:ascii="Times New Roman" w:hAnsi="Times New Roman" w:cs="Times New Roman"/>
        </w:rPr>
        <w:t>α</w:t>
      </w:r>
      <w:r>
        <w:rPr>
          <w:rFonts w:ascii="Times New Roman" w:hAnsi="Times New Roman" w:cs="Times New Roman"/>
          <w:lang w:eastAsia="zh-CN"/>
        </w:rPr>
        <w:t>-氧化铝。</w:t>
      </w:r>
    </w:p>
    <w:p>
      <w:pPr>
        <w:pStyle w:val="145"/>
        <w:rPr>
          <w:lang w:eastAsia="zh-C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3038475" cy="2020570"/>
            <wp:effectExtent l="0" t="0" r="9525" b="1778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41039" cy="20227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topLinePunct w:val="0"/>
        <w:spacing w:after="0"/>
        <w:rPr>
          <w:rFonts w:ascii="Book Antiqua" w:hAnsi="Book Antiqua" w:cs="宋体"/>
          <w:kern w:val="0"/>
          <w:sz w:val="24"/>
          <w:szCs w:val="24"/>
        </w:rPr>
      </w:pPr>
      <w:r>
        <w:rPr>
          <w:rFonts w:ascii="Book Antiqua" w:hAnsi="Book Antiqua" w:cs="宋体"/>
          <w:kern w:val="0"/>
          <w:sz w:val="24"/>
          <w:szCs w:val="24"/>
        </w:rPr>
        <w:t>据调研团队最新报告“全球特种氧化铝市场报告2023-2029”显示，预计2029年全球特种氧化铝市场规模将达到34.3亿美元，未来几年年复合增长率CAGR为1.6%。</w:t>
      </w:r>
    </w:p>
    <w:p>
      <w:pPr>
        <w:pStyle w:val="145"/>
        <w:rPr>
          <w:lang w:val="en-US" w:eastAsia="zh-CN"/>
        </w:rPr>
      </w:pPr>
    </w:p>
    <w:p>
      <w:pPr>
        <w:pStyle w:val="148"/>
      </w:pPr>
      <w:r>
        <w:t>特种氧化铝</w:t>
      </w:r>
      <w:r>
        <w:rPr>
          <w:rFonts w:hint="eastAsia"/>
          <w:lang w:eastAsia="zh-CN"/>
        </w:rPr>
        <w:t>，全球市场总体规模</w:t>
      </w:r>
    </w:p>
    <w:p>
      <w:pPr>
        <w:pStyle w:val="145"/>
      </w:pPr>
      <w:r>
        <w:drawing>
          <wp:inline distT="0" distB="0" distL="0" distR="0">
            <wp:extent cx="4942840" cy="2666365"/>
            <wp:effectExtent l="0" t="0" r="1016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42857" cy="266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3"/>
      </w:pPr>
      <w:r>
        <w:rPr>
          <w:rFonts w:hint="eastAsia"/>
          <w:lang w:eastAsia="zh-CN"/>
        </w:rPr>
        <w:t>如上图表/数据，摘自QYResearch最新报告“</w:t>
      </w:r>
      <w:r>
        <w:rPr>
          <w:rFonts w:hint="eastAsia"/>
        </w:rPr>
        <w:t>全球</w:t>
      </w:r>
      <w:r>
        <w:t>特种氧化铝</w:t>
      </w:r>
      <w:r>
        <w:rPr>
          <w:rFonts w:hint="eastAsia"/>
        </w:rPr>
        <w:t>市场研究报告2023-2029</w:t>
      </w:r>
      <w:r>
        <w:t>.</w:t>
      </w:r>
    </w:p>
    <w:p>
      <w:pPr>
        <w:pStyle w:val="145"/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特种氧化铝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15</w:t>
      </w:r>
      <w:r>
        <w:rPr>
          <w:rFonts w:hint="eastAsia"/>
          <w:lang w:eastAsia="zh-CN"/>
        </w:rPr>
        <w:t>强生产商排名及市场占有率（基于202</w:t>
      </w:r>
      <w:r>
        <w:rPr>
          <w:lang w:eastAsia="zh-CN"/>
        </w:rPr>
        <w:t>2</w:t>
      </w:r>
      <w:r>
        <w:rPr>
          <w:rFonts w:hint="eastAsia"/>
          <w:lang w:eastAsia="zh-CN"/>
        </w:rPr>
        <w:t>年调研数据；目前最新数据以本公司最新调研数据为准）</w:t>
      </w:r>
    </w:p>
    <w:p>
      <w:pPr>
        <w:pStyle w:val="145"/>
        <w:jc w:val="center"/>
      </w:pPr>
      <w:r>
        <w:drawing>
          <wp:inline distT="0" distB="0" distL="0" distR="0">
            <wp:extent cx="4572000" cy="4399915"/>
            <wp:effectExtent l="0" t="0" r="0" b="635"/>
            <wp:docPr id="2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如上图表/数据，摘自QYResearch报告“全球特种氧化铝市场研究报告2023-2029，排名基于2022数据。目前最新数据，以本公司最新调研数据为准。</w:t>
      </w:r>
    </w:p>
    <w:p>
      <w:pPr>
        <w:pStyle w:val="143"/>
      </w:pPr>
      <w:r>
        <w:t>.</w:t>
      </w:r>
    </w:p>
    <w:p>
      <w:pPr>
        <w:widowControl/>
        <w:topLinePunct w:val="0"/>
        <w:spacing w:after="0"/>
        <w:rPr>
          <w:rFonts w:ascii="Times New Roman" w:hAnsi="Times New Roman" w:cs="Times New Roman"/>
          <w:kern w:val="0"/>
          <w:sz w:val="22"/>
          <w:szCs w:val="22"/>
        </w:rPr>
      </w:pPr>
      <w:r>
        <w:rPr>
          <w:rFonts w:ascii="Times New Roman" w:hAnsi="Times New Roman" w:cs="Times New Roman"/>
          <w:kern w:val="0"/>
          <w:sz w:val="22"/>
          <w:szCs w:val="22"/>
        </w:rPr>
        <w:t>全球范围内特种氧化铝生产商主要包括Anmai Aluminium Industry、Alteo、Aluminum Corporation of China Limited、Sumitomo Dainippon Pharma Co., Ltd.、Hindalco、Gansu Golden Solar Co., Ltd.、Showa Denko K.K.、Nippon Light Metal Holdings Company, Ltd.、Nabtesco、ICA等。2022年，全球前五大厂商占有大约37.0%的市场份额。</w:t>
      </w:r>
    </w:p>
    <w:p>
      <w:pPr>
        <w:pStyle w:val="145"/>
      </w:pPr>
    </w:p>
    <w:p>
      <w:pPr>
        <w:pStyle w:val="145"/>
        <w:rPr>
          <w:lang w:eastAsia="zh-CN"/>
        </w:rPr>
      </w:pP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80F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3F13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1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054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9EB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2AD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20C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21E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42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4D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4ED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244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17C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51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3BD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11B0B5F"/>
    <w:rsid w:val="02140D77"/>
    <w:rsid w:val="023128A5"/>
    <w:rsid w:val="02A50666"/>
    <w:rsid w:val="02E3014B"/>
    <w:rsid w:val="02E76B51"/>
    <w:rsid w:val="032F27C8"/>
    <w:rsid w:val="03447D4D"/>
    <w:rsid w:val="039F62FF"/>
    <w:rsid w:val="03C816C2"/>
    <w:rsid w:val="042F016D"/>
    <w:rsid w:val="047F596D"/>
    <w:rsid w:val="04B86DCC"/>
    <w:rsid w:val="05405A2B"/>
    <w:rsid w:val="05DF20B2"/>
    <w:rsid w:val="064B395F"/>
    <w:rsid w:val="064B71E3"/>
    <w:rsid w:val="06A607F6"/>
    <w:rsid w:val="06BF1720"/>
    <w:rsid w:val="06E95DE7"/>
    <w:rsid w:val="070A2A99"/>
    <w:rsid w:val="07287ACA"/>
    <w:rsid w:val="076247AC"/>
    <w:rsid w:val="07CE3ADB"/>
    <w:rsid w:val="07E72487"/>
    <w:rsid w:val="086D0162"/>
    <w:rsid w:val="09735491"/>
    <w:rsid w:val="09A76BE4"/>
    <w:rsid w:val="09B40479"/>
    <w:rsid w:val="09B74C81"/>
    <w:rsid w:val="0A164C9A"/>
    <w:rsid w:val="0A413560"/>
    <w:rsid w:val="0A9D03F6"/>
    <w:rsid w:val="0AFE7196"/>
    <w:rsid w:val="0B676BC5"/>
    <w:rsid w:val="0BE3650F"/>
    <w:rsid w:val="0BF132A6"/>
    <w:rsid w:val="0C1C1B6C"/>
    <w:rsid w:val="0C26247C"/>
    <w:rsid w:val="0C3C7EA2"/>
    <w:rsid w:val="0C691C6B"/>
    <w:rsid w:val="0C946333"/>
    <w:rsid w:val="0C996F37"/>
    <w:rsid w:val="0CDE1C2A"/>
    <w:rsid w:val="0CE12BAF"/>
    <w:rsid w:val="0CE7033B"/>
    <w:rsid w:val="0D126C01"/>
    <w:rsid w:val="0D223618"/>
    <w:rsid w:val="0E2A3E4A"/>
    <w:rsid w:val="0E550512"/>
    <w:rsid w:val="0F5116AE"/>
    <w:rsid w:val="100B4360"/>
    <w:rsid w:val="101C7E7E"/>
    <w:rsid w:val="10231A07"/>
    <w:rsid w:val="105A40DF"/>
    <w:rsid w:val="1087172B"/>
    <w:rsid w:val="10A04854"/>
    <w:rsid w:val="111D76A0"/>
    <w:rsid w:val="113605CA"/>
    <w:rsid w:val="118A2253"/>
    <w:rsid w:val="11930964"/>
    <w:rsid w:val="11F2677F"/>
    <w:rsid w:val="121421B7"/>
    <w:rsid w:val="12A32D1F"/>
    <w:rsid w:val="12B442BF"/>
    <w:rsid w:val="132135EE"/>
    <w:rsid w:val="13453BAE"/>
    <w:rsid w:val="13573AC8"/>
    <w:rsid w:val="14DF00CB"/>
    <w:rsid w:val="15391A5F"/>
    <w:rsid w:val="156712A9"/>
    <w:rsid w:val="15A62093"/>
    <w:rsid w:val="161C3356"/>
    <w:rsid w:val="161D5555"/>
    <w:rsid w:val="166C0B57"/>
    <w:rsid w:val="16722A60"/>
    <w:rsid w:val="170809D5"/>
    <w:rsid w:val="171325EA"/>
    <w:rsid w:val="17263809"/>
    <w:rsid w:val="174775C1"/>
    <w:rsid w:val="17826121"/>
    <w:rsid w:val="18052E77"/>
    <w:rsid w:val="18147C0E"/>
    <w:rsid w:val="182A5635"/>
    <w:rsid w:val="184461DF"/>
    <w:rsid w:val="191861B7"/>
    <w:rsid w:val="197444C3"/>
    <w:rsid w:val="19D133E7"/>
    <w:rsid w:val="19E67B09"/>
    <w:rsid w:val="1A302507"/>
    <w:rsid w:val="1A3A7593"/>
    <w:rsid w:val="1A6900E2"/>
    <w:rsid w:val="1AE01026"/>
    <w:rsid w:val="1B2C5C22"/>
    <w:rsid w:val="1B415BC7"/>
    <w:rsid w:val="1B6E410D"/>
    <w:rsid w:val="1C5A0892"/>
    <w:rsid w:val="1C8D7DE8"/>
    <w:rsid w:val="1D120041"/>
    <w:rsid w:val="1D1C50CD"/>
    <w:rsid w:val="1D517B25"/>
    <w:rsid w:val="1DB37BCA"/>
    <w:rsid w:val="1DD1717A"/>
    <w:rsid w:val="1E264686"/>
    <w:rsid w:val="1EEF62CD"/>
    <w:rsid w:val="1F6A5C17"/>
    <w:rsid w:val="1F990CE4"/>
    <w:rsid w:val="20404975"/>
    <w:rsid w:val="20664BB5"/>
    <w:rsid w:val="207D005D"/>
    <w:rsid w:val="2085546A"/>
    <w:rsid w:val="20D506EC"/>
    <w:rsid w:val="20ED3B94"/>
    <w:rsid w:val="213D6E16"/>
    <w:rsid w:val="214210A0"/>
    <w:rsid w:val="218E591C"/>
    <w:rsid w:val="21C42573"/>
    <w:rsid w:val="224E6C54"/>
    <w:rsid w:val="229F5759"/>
    <w:rsid w:val="22D20532"/>
    <w:rsid w:val="236D70AB"/>
    <w:rsid w:val="24356AF4"/>
    <w:rsid w:val="243B67FF"/>
    <w:rsid w:val="24710ED7"/>
    <w:rsid w:val="250F7ADC"/>
    <w:rsid w:val="25B22B68"/>
    <w:rsid w:val="26126405"/>
    <w:rsid w:val="265B761D"/>
    <w:rsid w:val="266723B6"/>
    <w:rsid w:val="27054714"/>
    <w:rsid w:val="27372964"/>
    <w:rsid w:val="28210363"/>
    <w:rsid w:val="28696559"/>
    <w:rsid w:val="286F5EE4"/>
    <w:rsid w:val="28E41726"/>
    <w:rsid w:val="28F57442"/>
    <w:rsid w:val="296341F3"/>
    <w:rsid w:val="299E43D8"/>
    <w:rsid w:val="29AF6870"/>
    <w:rsid w:val="29DC643B"/>
    <w:rsid w:val="29FD43F1"/>
    <w:rsid w:val="2A5218FD"/>
    <w:rsid w:val="2A7478B3"/>
    <w:rsid w:val="2A8113B0"/>
    <w:rsid w:val="2C06004A"/>
    <w:rsid w:val="2C856399"/>
    <w:rsid w:val="2D090B71"/>
    <w:rsid w:val="2D373C3F"/>
    <w:rsid w:val="2D9A265E"/>
    <w:rsid w:val="2E3737E1"/>
    <w:rsid w:val="2E807459"/>
    <w:rsid w:val="2ED33660"/>
    <w:rsid w:val="2EF9001C"/>
    <w:rsid w:val="2EFA1321"/>
    <w:rsid w:val="2F107C41"/>
    <w:rsid w:val="2F7431E9"/>
    <w:rsid w:val="2FBF4562"/>
    <w:rsid w:val="3030139E"/>
    <w:rsid w:val="30711E07"/>
    <w:rsid w:val="30A844DF"/>
    <w:rsid w:val="31586882"/>
    <w:rsid w:val="318F6D5C"/>
    <w:rsid w:val="31BC43A8"/>
    <w:rsid w:val="31BD1E29"/>
    <w:rsid w:val="31C02DAE"/>
    <w:rsid w:val="31CE7B45"/>
    <w:rsid w:val="31EF007A"/>
    <w:rsid w:val="327B56DF"/>
    <w:rsid w:val="32915685"/>
    <w:rsid w:val="32925305"/>
    <w:rsid w:val="33301D0B"/>
    <w:rsid w:val="333A261A"/>
    <w:rsid w:val="33995EB7"/>
    <w:rsid w:val="33CF4D0C"/>
    <w:rsid w:val="347B64AA"/>
    <w:rsid w:val="34945D4F"/>
    <w:rsid w:val="34A64D70"/>
    <w:rsid w:val="34D15BB4"/>
    <w:rsid w:val="34ED1C61"/>
    <w:rsid w:val="354E0A01"/>
    <w:rsid w:val="35650626"/>
    <w:rsid w:val="35684E2E"/>
    <w:rsid w:val="357A05CB"/>
    <w:rsid w:val="35AF77A0"/>
    <w:rsid w:val="36840A7D"/>
    <w:rsid w:val="36A9323B"/>
    <w:rsid w:val="3733539E"/>
    <w:rsid w:val="38232AA8"/>
    <w:rsid w:val="382E3037"/>
    <w:rsid w:val="38356245"/>
    <w:rsid w:val="385A0A04"/>
    <w:rsid w:val="389030DC"/>
    <w:rsid w:val="38CB7A3E"/>
    <w:rsid w:val="38F85F83"/>
    <w:rsid w:val="38FB278B"/>
    <w:rsid w:val="393D6A78"/>
    <w:rsid w:val="39833969"/>
    <w:rsid w:val="398D7AFC"/>
    <w:rsid w:val="399248BD"/>
    <w:rsid w:val="39984266"/>
    <w:rsid w:val="39AE2B63"/>
    <w:rsid w:val="39CE0565"/>
    <w:rsid w:val="39E11784"/>
    <w:rsid w:val="39F13F9D"/>
    <w:rsid w:val="3A522D3D"/>
    <w:rsid w:val="3A572A48"/>
    <w:rsid w:val="3A733271"/>
    <w:rsid w:val="3AC37B79"/>
    <w:rsid w:val="3BAF51F7"/>
    <w:rsid w:val="3CC92C1C"/>
    <w:rsid w:val="3CEF5B84"/>
    <w:rsid w:val="3CF93F15"/>
    <w:rsid w:val="3D6F51D8"/>
    <w:rsid w:val="3D947997"/>
    <w:rsid w:val="3DAD2ABF"/>
    <w:rsid w:val="3DD50400"/>
    <w:rsid w:val="3DFB283E"/>
    <w:rsid w:val="3E025A4C"/>
    <w:rsid w:val="3E2171FA"/>
    <w:rsid w:val="3E9704BE"/>
    <w:rsid w:val="3F2D1CB6"/>
    <w:rsid w:val="3F721126"/>
    <w:rsid w:val="3F9F0CF0"/>
    <w:rsid w:val="40202543"/>
    <w:rsid w:val="407441CC"/>
    <w:rsid w:val="4222518C"/>
    <w:rsid w:val="425311DE"/>
    <w:rsid w:val="42677E7F"/>
    <w:rsid w:val="43212B30"/>
    <w:rsid w:val="436E2C30"/>
    <w:rsid w:val="437525BA"/>
    <w:rsid w:val="439E377F"/>
    <w:rsid w:val="441B2D48"/>
    <w:rsid w:val="443F5506"/>
    <w:rsid w:val="44757F5F"/>
    <w:rsid w:val="44E0180C"/>
    <w:rsid w:val="45433AAF"/>
    <w:rsid w:val="456F5BF8"/>
    <w:rsid w:val="45921630"/>
    <w:rsid w:val="45AA4758"/>
    <w:rsid w:val="45D27E9B"/>
    <w:rsid w:val="460B12FA"/>
    <w:rsid w:val="46136706"/>
    <w:rsid w:val="4622569C"/>
    <w:rsid w:val="462369A1"/>
    <w:rsid w:val="46845740"/>
    <w:rsid w:val="46F91E7C"/>
    <w:rsid w:val="473D2970"/>
    <w:rsid w:val="477F6C5D"/>
    <w:rsid w:val="485D4FC6"/>
    <w:rsid w:val="48847404"/>
    <w:rsid w:val="48F77743"/>
    <w:rsid w:val="494574C2"/>
    <w:rsid w:val="4A4A12EF"/>
    <w:rsid w:val="4A4D7CF5"/>
    <w:rsid w:val="4A6E3AAD"/>
    <w:rsid w:val="4AE56F6F"/>
    <w:rsid w:val="4B427308"/>
    <w:rsid w:val="4B812670"/>
    <w:rsid w:val="4B8D6483"/>
    <w:rsid w:val="4C054E48"/>
    <w:rsid w:val="4C537145"/>
    <w:rsid w:val="4CF3124D"/>
    <w:rsid w:val="4D686C8D"/>
    <w:rsid w:val="4DA25B6E"/>
    <w:rsid w:val="4DFF2684"/>
    <w:rsid w:val="4E1103A0"/>
    <w:rsid w:val="4FA82A40"/>
    <w:rsid w:val="5074340D"/>
    <w:rsid w:val="508942AC"/>
    <w:rsid w:val="508A77AF"/>
    <w:rsid w:val="508F1A38"/>
    <w:rsid w:val="50F25EDA"/>
    <w:rsid w:val="511C03A3"/>
    <w:rsid w:val="51656219"/>
    <w:rsid w:val="51804844"/>
    <w:rsid w:val="51ED73F6"/>
    <w:rsid w:val="525D67B1"/>
    <w:rsid w:val="52817C6A"/>
    <w:rsid w:val="52D41C73"/>
    <w:rsid w:val="53121757"/>
    <w:rsid w:val="53362C11"/>
    <w:rsid w:val="53AB3ED4"/>
    <w:rsid w:val="546A778A"/>
    <w:rsid w:val="547C2F28"/>
    <w:rsid w:val="54AD6F7A"/>
    <w:rsid w:val="54D87DBE"/>
    <w:rsid w:val="5510379B"/>
    <w:rsid w:val="551769A9"/>
    <w:rsid w:val="554503F2"/>
    <w:rsid w:val="55671C2C"/>
    <w:rsid w:val="55902DF0"/>
    <w:rsid w:val="560A4CB8"/>
    <w:rsid w:val="56761DE9"/>
    <w:rsid w:val="56925E96"/>
    <w:rsid w:val="56B70654"/>
    <w:rsid w:val="56F10111"/>
    <w:rsid w:val="57316C99"/>
    <w:rsid w:val="57391B27"/>
    <w:rsid w:val="574B7843"/>
    <w:rsid w:val="57805B1E"/>
    <w:rsid w:val="57AD4064"/>
    <w:rsid w:val="585F1909"/>
    <w:rsid w:val="58A77AFF"/>
    <w:rsid w:val="58BA45A1"/>
    <w:rsid w:val="58C838B7"/>
    <w:rsid w:val="58C93537"/>
    <w:rsid w:val="590A5625"/>
    <w:rsid w:val="591D6844"/>
    <w:rsid w:val="59227449"/>
    <w:rsid w:val="59943F04"/>
    <w:rsid w:val="59F70726"/>
    <w:rsid w:val="5A5874C6"/>
    <w:rsid w:val="5A7979FA"/>
    <w:rsid w:val="5A897C95"/>
    <w:rsid w:val="5AE738B1"/>
    <w:rsid w:val="5C140AA0"/>
    <w:rsid w:val="5C2A2C44"/>
    <w:rsid w:val="5CF4010E"/>
    <w:rsid w:val="5CF94596"/>
    <w:rsid w:val="5D0C1038"/>
    <w:rsid w:val="5D514C25"/>
    <w:rsid w:val="5E074753"/>
    <w:rsid w:val="5E363F9E"/>
    <w:rsid w:val="5EE42E3D"/>
    <w:rsid w:val="5EEC0249"/>
    <w:rsid w:val="5F245E25"/>
    <w:rsid w:val="5F3176B9"/>
    <w:rsid w:val="5F6B1E1C"/>
    <w:rsid w:val="5F8A104C"/>
    <w:rsid w:val="5FBF6023"/>
    <w:rsid w:val="5FDF73FB"/>
    <w:rsid w:val="60060996"/>
    <w:rsid w:val="60534318"/>
    <w:rsid w:val="608060E1"/>
    <w:rsid w:val="60B146B2"/>
    <w:rsid w:val="60C36BF4"/>
    <w:rsid w:val="615E224C"/>
    <w:rsid w:val="62502AD9"/>
    <w:rsid w:val="62AE2E73"/>
    <w:rsid w:val="62C01E93"/>
    <w:rsid w:val="62C06610"/>
    <w:rsid w:val="633F4960"/>
    <w:rsid w:val="639F01FD"/>
    <w:rsid w:val="63E663F3"/>
    <w:rsid w:val="640843A9"/>
    <w:rsid w:val="64112ABA"/>
    <w:rsid w:val="648B4982"/>
    <w:rsid w:val="64AF38BD"/>
    <w:rsid w:val="650D74DA"/>
    <w:rsid w:val="65811A17"/>
    <w:rsid w:val="662A0BAB"/>
    <w:rsid w:val="66647A8B"/>
    <w:rsid w:val="66BC5F1C"/>
    <w:rsid w:val="66D222BD"/>
    <w:rsid w:val="67600C28"/>
    <w:rsid w:val="6777664F"/>
    <w:rsid w:val="6889198F"/>
    <w:rsid w:val="691C697F"/>
    <w:rsid w:val="696D5485"/>
    <w:rsid w:val="69837628"/>
    <w:rsid w:val="69880C71"/>
    <w:rsid w:val="69AB2D6B"/>
    <w:rsid w:val="69FF27F5"/>
    <w:rsid w:val="6AB4579C"/>
    <w:rsid w:val="6AC14AB2"/>
    <w:rsid w:val="6AD050CC"/>
    <w:rsid w:val="6B026BA0"/>
    <w:rsid w:val="6B046820"/>
    <w:rsid w:val="6B1D51CB"/>
    <w:rsid w:val="6B213BD1"/>
    <w:rsid w:val="6BEE7AA2"/>
    <w:rsid w:val="6C974A38"/>
    <w:rsid w:val="6CC07DFA"/>
    <w:rsid w:val="6CDE15A9"/>
    <w:rsid w:val="6CE1026C"/>
    <w:rsid w:val="6D0475EA"/>
    <w:rsid w:val="6D7A7229"/>
    <w:rsid w:val="6D891A42"/>
    <w:rsid w:val="6E4E2A84"/>
    <w:rsid w:val="6EB3022A"/>
    <w:rsid w:val="6F21085E"/>
    <w:rsid w:val="6F32657A"/>
    <w:rsid w:val="6F6438D1"/>
    <w:rsid w:val="6F9D14AD"/>
    <w:rsid w:val="700468D2"/>
    <w:rsid w:val="706C4FFD"/>
    <w:rsid w:val="70EA114F"/>
    <w:rsid w:val="71062FFD"/>
    <w:rsid w:val="71791CB7"/>
    <w:rsid w:val="71F44E84"/>
    <w:rsid w:val="72414F83"/>
    <w:rsid w:val="72492390"/>
    <w:rsid w:val="726A4AC3"/>
    <w:rsid w:val="7271444E"/>
    <w:rsid w:val="72BA00C5"/>
    <w:rsid w:val="73357A0F"/>
    <w:rsid w:val="73376795"/>
    <w:rsid w:val="73651863"/>
    <w:rsid w:val="739E3BBB"/>
    <w:rsid w:val="73D44095"/>
    <w:rsid w:val="74BF2D99"/>
    <w:rsid w:val="74C64922"/>
    <w:rsid w:val="74D900BF"/>
    <w:rsid w:val="74F963F6"/>
    <w:rsid w:val="75286F45"/>
    <w:rsid w:val="7537175E"/>
    <w:rsid w:val="755D199D"/>
    <w:rsid w:val="756B2EB1"/>
    <w:rsid w:val="75DE31F0"/>
    <w:rsid w:val="76377102"/>
    <w:rsid w:val="76C30EE4"/>
    <w:rsid w:val="76E44C9C"/>
    <w:rsid w:val="77A26354"/>
    <w:rsid w:val="780D5A03"/>
    <w:rsid w:val="78574EC9"/>
    <w:rsid w:val="787466AD"/>
    <w:rsid w:val="78967EE6"/>
    <w:rsid w:val="793144E1"/>
    <w:rsid w:val="79AA6729"/>
    <w:rsid w:val="79E10E02"/>
    <w:rsid w:val="7A4024A0"/>
    <w:rsid w:val="7AC62379"/>
    <w:rsid w:val="7AED003A"/>
    <w:rsid w:val="7B540CE3"/>
    <w:rsid w:val="7B716095"/>
    <w:rsid w:val="7B7C4426"/>
    <w:rsid w:val="7BA41D67"/>
    <w:rsid w:val="7C1977A8"/>
    <w:rsid w:val="7C99137B"/>
    <w:rsid w:val="7CDF626C"/>
    <w:rsid w:val="7D2953E6"/>
    <w:rsid w:val="7D817FF3"/>
    <w:rsid w:val="7DFC793D"/>
    <w:rsid w:val="7E261E06"/>
    <w:rsid w:val="7E734104"/>
    <w:rsid w:val="7E990AC0"/>
    <w:rsid w:val="7F0439F3"/>
    <w:rsid w:val="7F0B7AFA"/>
    <w:rsid w:val="7F107805"/>
    <w:rsid w:val="7F1C1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unhideWhenUsed/>
    <w:qFormat/>
    <w:uiPriority w:val="39"/>
  </w:style>
  <w:style w:type="paragraph" w:styleId="28">
    <w:name w:val="table of figures"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chart" Target="charts/chart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C:\Users\hzbz\Desktop\&#26032;&#24314;&#25991;&#20214;&#22841;\Specialty%20Alumina%20&#29305;&#31181;&#27687;&#21270;&#38109;\&#35266;&#28857;&#25968;&#25454;&#22270;&#34920;&#27169;&#26495;-&#20840;&#29699;20231017%20&#23454;&#20064;&#21516;&#23398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" charset="0"/>
              </a:rPr>
              <a:t>全球市场主要企业排名</a:t>
            </a:r>
            <a:endParaRPr lang="en-US" altLang="zh-CN" sz="105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2022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0"/>
            <c:invertIfNegative val="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1"/>
            <c:invertIfNegative val="0"/>
            <c:bubble3D val="0"/>
            <c:spPr>
              <a:solidFill>
                <a:schemeClr val="accent6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2"/>
            <c:invertIfNegative val="0"/>
            <c:bubble3D val="0"/>
            <c:spPr>
              <a:solidFill>
                <a:schemeClr val="accent1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3"/>
            <c:invertIfNegative val="0"/>
            <c:bubble3D val="0"/>
            <c:spPr>
              <a:solidFill>
                <a:schemeClr val="accent2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4"/>
            <c:invertIfNegative val="0"/>
            <c:bubble3D val="0"/>
            <c:spPr>
              <a:solidFill>
                <a:schemeClr val="accent3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企业排序!$F$2:$F$16</c:f>
              <c:strCache>
                <c:ptCount val="15"/>
                <c:pt idx="0">
                  <c:v>Nalco</c:v>
                </c:pt>
                <c:pt idx="1">
                  <c:v>Silkem</c:v>
                </c:pt>
                <c:pt idx="2">
                  <c:v>Huber Corporation</c:v>
                </c:pt>
                <c:pt idx="3">
                  <c:v>Motim</c:v>
                </c:pt>
                <c:pt idx="4">
                  <c:v>山东盛日奥鹏环保新材料</c:v>
                </c:pt>
                <c:pt idx="5">
                  <c:v>ICA</c:v>
                </c:pt>
                <c:pt idx="6">
                  <c:v>纳博特</c:v>
                </c:pt>
                <c:pt idx="7">
                  <c:v>日本轻金属株式会社</c:v>
                </c:pt>
                <c:pt idx="8">
                  <c:v>昭和电工</c:v>
                </c:pt>
                <c:pt idx="9">
                  <c:v>金刚股份</c:v>
                </c:pt>
                <c:pt idx="10">
                  <c:v>Hindalco</c:v>
                </c:pt>
                <c:pt idx="11">
                  <c:v>住友化学</c:v>
                </c:pt>
                <c:pt idx="12">
                  <c:v>中国铝业</c:v>
                </c:pt>
                <c:pt idx="13">
                  <c:v>Alteo</c:v>
                </c:pt>
                <c:pt idx="14">
                  <c:v>安迈铝业</c:v>
                </c:pt>
              </c:strCache>
            </c:strRef>
          </c:cat>
          <c:val>
            <c:numRef>
              <c:f>企业排序!$G$2:$G$16</c:f>
              <c:numCache>
                <c:formatCode>#,##0.00_ </c:formatCode>
                <c:ptCount val="15"/>
                <c:pt idx="0">
                  <c:v>11.25</c:v>
                </c:pt>
                <c:pt idx="1">
                  <c:v>25.67</c:v>
                </c:pt>
                <c:pt idx="2">
                  <c:v>28.3</c:v>
                </c:pt>
                <c:pt idx="3">
                  <c:v>38.64</c:v>
                </c:pt>
                <c:pt idx="4">
                  <c:v>44.31</c:v>
                </c:pt>
                <c:pt idx="5">
                  <c:v>58.36</c:v>
                </c:pt>
                <c:pt idx="6">
                  <c:v>64.86</c:v>
                </c:pt>
                <c:pt idx="7">
                  <c:v>84.54</c:v>
                </c:pt>
                <c:pt idx="8">
                  <c:v>123.25</c:v>
                </c:pt>
                <c:pt idx="9">
                  <c:v>124.74</c:v>
                </c:pt>
                <c:pt idx="10">
                  <c:v>141.74</c:v>
                </c:pt>
                <c:pt idx="11">
                  <c:v>148.17</c:v>
                </c:pt>
                <c:pt idx="12">
                  <c:v>187.18</c:v>
                </c:pt>
                <c:pt idx="13">
                  <c:v>194.03</c:v>
                </c:pt>
                <c:pt idx="14">
                  <c:v>462.11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06A4D-AEF5-4F7F-B711-D4CAB3BB3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577</Words>
  <Characters>3294</Characters>
  <Lines>27</Lines>
  <Paragraphs>7</Paragraphs>
  <TotalTime>0</TotalTime>
  <ScaleCrop>false</ScaleCrop>
  <LinksUpToDate>false</LinksUpToDate>
  <CharactersWithSpaces>3864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2023-12-28T09:52:58Z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A47DC3AD6CEB42A088C0CCC2A87B78CF_13</vt:lpwstr>
  </property>
</Properties>
</file>