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1E7DB">
      <w:pPr>
        <w:pStyle w:val="2"/>
        <w:bidi w:val="0"/>
        <w:rPr>
          <w:rFonts w:hint="eastAsia" w:ascii="楷体" w:hAnsi="楷体" w:eastAsia="楷体" w:cs="楷体"/>
        </w:rPr>
      </w:pPr>
      <w:r>
        <w:rPr>
          <w:rFonts w:hint="eastAsia" w:ascii="楷体" w:hAnsi="楷体" w:eastAsia="楷体" w:cs="楷体"/>
        </w:rPr>
        <w:t>丝氨酸/苏氨酸激酶（STKs）：前列腺癌治疗的新兴靶点</w:t>
      </w:r>
      <w:bookmarkStart w:id="0" w:name="_GoBack"/>
      <w:bookmarkEnd w:id="0"/>
    </w:p>
    <w:p w14:paraId="66EC3343">
      <w:pPr>
        <w:rPr>
          <w:rFonts w:hint="eastAsia" w:ascii="楷体" w:hAnsi="楷体" w:eastAsia="楷体" w:cs="楷体"/>
          <w:sz w:val="28"/>
          <w:szCs w:val="28"/>
        </w:rPr>
      </w:pPr>
    </w:p>
    <w:p w14:paraId="04664DEC">
      <w:pPr>
        <w:rPr>
          <w:rFonts w:hint="eastAsia" w:ascii="楷体" w:hAnsi="楷体" w:eastAsia="楷体" w:cs="楷体"/>
          <w:sz w:val="28"/>
          <w:szCs w:val="28"/>
        </w:rPr>
      </w:pPr>
    </w:p>
    <w:p w14:paraId="507E341C">
      <w:pPr>
        <w:pStyle w:val="3"/>
        <w:bidi w:val="0"/>
        <w:rPr>
          <w:rFonts w:hint="eastAsia" w:ascii="楷体" w:hAnsi="楷体" w:eastAsia="楷体" w:cs="楷体"/>
        </w:rPr>
      </w:pPr>
      <w:r>
        <w:rPr>
          <w:rFonts w:hint="eastAsia" w:ascii="楷体" w:hAnsi="楷体" w:eastAsia="楷体" w:cs="楷体"/>
        </w:rPr>
        <w:t>引言</w:t>
      </w:r>
    </w:p>
    <w:p w14:paraId="646ABA58">
      <w:pPr>
        <w:rPr>
          <w:rFonts w:hint="eastAsia" w:ascii="楷体" w:hAnsi="楷体" w:eastAsia="楷体" w:cs="楷体"/>
          <w:sz w:val="28"/>
          <w:szCs w:val="28"/>
        </w:rPr>
      </w:pPr>
      <w:r>
        <w:rPr>
          <w:rFonts w:hint="eastAsia" w:ascii="楷体" w:hAnsi="楷体" w:eastAsia="楷体" w:cs="楷体"/>
          <w:sz w:val="28"/>
          <w:szCs w:val="28"/>
        </w:rPr>
        <w:t>前列腺癌（PCa）是男性癌症相关死亡的第五大原因，全球约有140万患者，2020年超37.5万死亡病例。</w:t>
      </w:r>
    </w:p>
    <w:p w14:paraId="0EA31C39">
      <w:pPr>
        <w:rPr>
          <w:rFonts w:hint="eastAsia" w:ascii="楷体" w:hAnsi="楷体" w:eastAsia="楷体" w:cs="楷体"/>
          <w:sz w:val="28"/>
          <w:szCs w:val="28"/>
        </w:rPr>
      </w:pPr>
      <w:r>
        <w:rPr>
          <w:rFonts w:hint="eastAsia" w:ascii="楷体" w:hAnsi="楷体" w:eastAsia="楷体" w:cs="楷体"/>
          <w:sz w:val="28"/>
          <w:szCs w:val="28"/>
        </w:rPr>
        <w:t>靶向治疗是潜力巨大的领域，PARP、PSMA、STEAP1、DLL3等是前列腺癌治疗的明星靶点。</w:t>
      </w:r>
    </w:p>
    <w:p w14:paraId="61A14AD8">
      <w:pPr>
        <w:rPr>
          <w:rFonts w:hint="eastAsia" w:ascii="楷体" w:hAnsi="楷体" w:eastAsia="楷体" w:cs="楷体"/>
          <w:sz w:val="28"/>
          <w:szCs w:val="28"/>
        </w:rPr>
      </w:pPr>
      <w:r>
        <w:rPr>
          <w:rFonts w:hint="eastAsia" w:ascii="楷体" w:hAnsi="楷体" w:eastAsia="楷体" w:cs="楷体"/>
          <w:sz w:val="28"/>
          <w:szCs w:val="28"/>
        </w:rPr>
        <w:t>除此之外，还有哪些靶点值得关注呢？</w:t>
      </w:r>
    </w:p>
    <w:p w14:paraId="5F0D6A5B">
      <w:pPr>
        <w:rPr>
          <w:rFonts w:hint="eastAsia" w:ascii="楷体" w:hAnsi="楷体" w:eastAsia="楷体" w:cs="楷体"/>
          <w:sz w:val="28"/>
          <w:szCs w:val="28"/>
        </w:rPr>
      </w:pPr>
      <w:r>
        <w:rPr>
          <w:rFonts w:hint="eastAsia" w:ascii="楷体" w:hAnsi="楷体" w:eastAsia="楷体" w:cs="楷体"/>
          <w:sz w:val="28"/>
          <w:szCs w:val="28"/>
        </w:rPr>
        <w:t>丝氨酸/苏氨酸激酶（STKs）具有保持基因组完整性、调节DNA修复和调控细胞周期的关键作用，在前列腺癌的发生和发展中至关重要。那么有哪些STKs是前列腺癌治疗的新兴靶点呢？</w:t>
      </w:r>
    </w:p>
    <w:p w14:paraId="23879B92">
      <w:pPr>
        <w:rPr>
          <w:rFonts w:hint="eastAsia" w:ascii="楷体" w:hAnsi="楷体" w:eastAsia="楷体" w:cs="楷体"/>
          <w:sz w:val="28"/>
          <w:szCs w:val="28"/>
        </w:rPr>
      </w:pPr>
    </w:p>
    <w:p w14:paraId="7A71C7DE">
      <w:pPr>
        <w:pStyle w:val="3"/>
        <w:bidi w:val="0"/>
        <w:rPr>
          <w:rFonts w:hint="eastAsia"/>
        </w:rPr>
      </w:pPr>
      <w:r>
        <w:rPr>
          <w:rFonts w:hint="eastAsia" w:ascii="楷体" w:hAnsi="楷体" w:eastAsia="楷体" w:cs="楷体"/>
          <w:b/>
        </w:rPr>
        <w:t>前列腺癌靶点知多少</w:t>
      </w:r>
    </w:p>
    <w:p w14:paraId="5BEF56FD">
      <w:pPr>
        <w:rPr>
          <w:rFonts w:hint="eastAsia" w:ascii="楷体" w:hAnsi="楷体" w:eastAsia="楷体" w:cs="楷体"/>
          <w:sz w:val="28"/>
          <w:szCs w:val="28"/>
        </w:rPr>
      </w:pPr>
      <w:r>
        <w:rPr>
          <w:rFonts w:hint="eastAsia" w:ascii="楷体" w:hAnsi="楷体" w:eastAsia="楷体" w:cs="楷体"/>
          <w:sz w:val="28"/>
          <w:szCs w:val="28"/>
        </w:rPr>
        <w:t>上海长征医院的任善成团队曾在STTT（IF=40.8）期刊发文对前列腺癌信号通路与靶向治疗的机制及临床试验研究进行综述。</w:t>
      </w:r>
    </w:p>
    <w:p w14:paraId="00EBBDA1">
      <w:pPr>
        <w:rPr>
          <w:rFonts w:hint="eastAsia" w:ascii="楷体" w:hAnsi="楷体" w:eastAsia="楷体" w:cs="楷体"/>
          <w:sz w:val="28"/>
          <w:szCs w:val="28"/>
        </w:rPr>
      </w:pPr>
      <w:r>
        <w:rPr>
          <w:rFonts w:hint="eastAsia" w:ascii="楷体" w:hAnsi="楷体" w:eastAsia="楷体" w:cs="楷体"/>
          <w:sz w:val="28"/>
          <w:szCs w:val="28"/>
        </w:rPr>
        <w:t>目前，雄激素受体（AR）抑制剂、骨靶向剂、PARP抑制剂已被开发用于治疗前列腺癌。靶向其他信号通路如CDK4/6、AKT、Wnt也陆续进入临床试验。</w:t>
      </w:r>
    </w:p>
    <w:p w14:paraId="7938FD52">
      <w:pPr>
        <w:rPr>
          <w:rFonts w:hint="eastAsia" w:ascii="楷体" w:hAnsi="楷体" w:eastAsia="楷体" w:cs="楷体"/>
          <w:sz w:val="28"/>
          <w:szCs w:val="28"/>
          <w:lang w:eastAsia="zh-CN"/>
        </w:rPr>
      </w:pPr>
      <w:r>
        <w:rPr>
          <w:rFonts w:hint="eastAsia" w:ascii="楷体" w:hAnsi="楷体" w:eastAsia="楷体" w:cs="楷体"/>
          <w:sz w:val="28"/>
          <w:szCs w:val="28"/>
          <w:lang w:eastAsia="zh-CN"/>
        </w:rPr>
        <w:drawing>
          <wp:inline distT="0" distB="0" distL="114300" distR="114300">
            <wp:extent cx="5266690" cy="2467610"/>
            <wp:effectExtent l="0" t="0" r="10160" b="8890"/>
            <wp:docPr id="1" name="图片 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
                    <pic:cNvPicPr>
                      <a:picLocks noChangeAspect="1"/>
                    </pic:cNvPicPr>
                  </pic:nvPicPr>
                  <pic:blipFill>
                    <a:blip r:embed="rId4"/>
                    <a:stretch>
                      <a:fillRect/>
                    </a:stretch>
                  </pic:blipFill>
                  <pic:spPr>
                    <a:xfrm>
                      <a:off x="0" y="0"/>
                      <a:ext cx="5266690" cy="2467610"/>
                    </a:xfrm>
                    <a:prstGeom prst="rect">
                      <a:avLst/>
                    </a:prstGeom>
                  </pic:spPr>
                </pic:pic>
              </a:graphicData>
            </a:graphic>
          </wp:inline>
        </w:drawing>
      </w:r>
    </w:p>
    <w:p w14:paraId="47506379">
      <w:pPr>
        <w:jc w:val="center"/>
        <w:rPr>
          <w:rFonts w:hint="eastAsia" w:ascii="楷体" w:hAnsi="楷体" w:eastAsia="楷体" w:cs="楷体"/>
          <w:sz w:val="28"/>
          <w:szCs w:val="28"/>
        </w:rPr>
      </w:pPr>
      <w:r>
        <w:rPr>
          <w:rFonts w:hint="eastAsia" w:ascii="楷体" w:hAnsi="楷体" w:eastAsia="楷体" w:cs="楷体"/>
          <w:sz w:val="28"/>
          <w:szCs w:val="28"/>
        </w:rPr>
        <w:t>前列腺癌靶向治疗策略</w:t>
      </w:r>
    </w:p>
    <w:p w14:paraId="499F196B">
      <w:pPr>
        <w:jc w:val="center"/>
        <w:rPr>
          <w:rFonts w:hint="eastAsia" w:ascii="楷体" w:hAnsi="楷体" w:eastAsia="楷体" w:cs="楷体"/>
          <w:sz w:val="28"/>
          <w:szCs w:val="28"/>
        </w:rPr>
      </w:pPr>
      <w:r>
        <w:rPr>
          <w:rFonts w:hint="eastAsia" w:ascii="楷体" w:hAnsi="楷体" w:eastAsia="楷体" w:cs="楷体"/>
          <w:sz w:val="28"/>
          <w:szCs w:val="28"/>
        </w:rPr>
        <w:t>（源自文献：doi: 10.1038/s41392-022-01042-7）</w:t>
      </w:r>
    </w:p>
    <w:p w14:paraId="1E744866">
      <w:pPr>
        <w:jc w:val="center"/>
        <w:rPr>
          <w:rFonts w:hint="eastAsia" w:ascii="楷体" w:hAnsi="楷体" w:eastAsia="楷体" w:cs="楷体"/>
          <w:sz w:val="28"/>
          <w:szCs w:val="28"/>
        </w:rPr>
      </w:pPr>
    </w:p>
    <w:p w14:paraId="27944267">
      <w:pPr>
        <w:rPr>
          <w:rFonts w:hint="eastAsia" w:ascii="楷体" w:hAnsi="楷体" w:eastAsia="楷体" w:cs="楷体"/>
          <w:b/>
          <w:bCs/>
          <w:sz w:val="28"/>
          <w:szCs w:val="28"/>
        </w:rPr>
      </w:pPr>
      <w:r>
        <w:rPr>
          <w:rFonts w:hint="eastAsia" w:ascii="楷体" w:hAnsi="楷体" w:eastAsia="楷体" w:cs="楷体"/>
          <w:b/>
          <w:bCs/>
          <w:sz w:val="28"/>
          <w:szCs w:val="28"/>
        </w:rPr>
        <w:t>前列腺癌靶向治疗策略汇总：</w:t>
      </w:r>
    </w:p>
    <w:p w14:paraId="1D585BF1">
      <w:pPr>
        <w:rPr>
          <w:rFonts w:hint="eastAsia" w:ascii="楷体" w:hAnsi="楷体" w:eastAsia="楷体" w:cs="楷体"/>
          <w:sz w:val="28"/>
          <w:szCs w:val="28"/>
        </w:rPr>
      </w:pPr>
      <w:r>
        <w:rPr>
          <w:rFonts w:hint="eastAsia" w:ascii="楷体" w:hAnsi="楷体" w:eastAsia="楷体" w:cs="楷体"/>
          <w:sz w:val="28"/>
          <w:szCs w:val="28"/>
        </w:rPr>
        <w:t>AR信号通路在疾病进展中起着关键作用，靶向AR是治疗前列腺癌的最有效策略之一，包括直接靶向AR抑制其转录活性、靶向GnRH防止黄体生成素释放，靶向CYP17A1抑制雄激素合成。</w:t>
      </w:r>
    </w:p>
    <w:p w14:paraId="2339D523">
      <w:pPr>
        <w:rPr>
          <w:rFonts w:hint="eastAsia" w:ascii="楷体" w:hAnsi="楷体" w:eastAsia="楷体" w:cs="楷体"/>
          <w:sz w:val="28"/>
          <w:szCs w:val="28"/>
        </w:rPr>
      </w:pPr>
      <w:r>
        <w:rPr>
          <w:rFonts w:hint="eastAsia" w:ascii="楷体" w:hAnsi="楷体" w:eastAsia="楷体" w:cs="楷体"/>
          <w:sz w:val="28"/>
          <w:szCs w:val="28"/>
        </w:rPr>
        <w:t>骨转移在PCa中常见，高达90%的晚期患者会发生。骨中的肿瘤细胞分泌溶骨细胞因子，如RANKL、GM-CSF、MMPs、IL-6、IGFs、FGFs、GDF15等，诱导破骨细胞介导的骨吸收，放骨TGFβ、IGFs、Ca2+等因子刺激肿瘤细胞增殖，形成恶性循环。靶向骨微环境（如RANKL抑制剂）可有效控制前列腺癌中的骨转移。</w:t>
      </w:r>
    </w:p>
    <w:p w14:paraId="06654285">
      <w:pPr>
        <w:rPr>
          <w:rFonts w:hint="eastAsia" w:ascii="楷体" w:hAnsi="楷体" w:eastAsia="楷体" w:cs="楷体"/>
          <w:sz w:val="28"/>
          <w:szCs w:val="28"/>
        </w:rPr>
      </w:pPr>
      <w:r>
        <w:rPr>
          <w:rFonts w:hint="eastAsia" w:ascii="楷体" w:hAnsi="楷体" w:eastAsia="楷体" w:cs="楷体"/>
          <w:sz w:val="28"/>
          <w:szCs w:val="28"/>
        </w:rPr>
        <w:t>前列腺特异性抗原（PSMA）属于Ⅱ型跨膜糖蛋白，在正常前列腺和非前列腺组织表达水平低，但在前列腺癌组织中表达会增加100-1000倍，是PCa影响诊断和靶向放射性核素治疗的靶点。已有多家企业布局PSMA药物开发，放射核素疗法、双抗、ADC、CAR-T相继登场。</w:t>
      </w:r>
    </w:p>
    <w:p w14:paraId="35507496">
      <w:pPr>
        <w:rPr>
          <w:rFonts w:hint="eastAsia" w:ascii="楷体" w:hAnsi="楷体" w:eastAsia="楷体" w:cs="楷体"/>
          <w:sz w:val="28"/>
          <w:szCs w:val="28"/>
        </w:rPr>
      </w:pPr>
      <w:r>
        <w:rPr>
          <w:rFonts w:hint="eastAsia" w:ascii="楷体" w:hAnsi="楷体" w:eastAsia="楷体" w:cs="楷体"/>
          <w:sz w:val="28"/>
          <w:szCs w:val="28"/>
        </w:rPr>
        <w:t>PARP参与DNA修复和转录调控。30%的转移性去势抵抗性前列腺癌患者（mCRPC）含有DNA损伤修复基因异常，RARP抑制剂独特的合成致死机制可用于mCRPC治疗。2024年10月21日强生的高选择性RARP抑制剂--泽倍珂获得国家药监局批准上市，成为国内首个且唯一的mCRPC双效复方制剂。</w:t>
      </w:r>
    </w:p>
    <w:p w14:paraId="70FB3ED4">
      <w:pPr>
        <w:rPr>
          <w:rFonts w:hint="eastAsia" w:ascii="楷体" w:hAnsi="楷体" w:eastAsia="楷体" w:cs="楷体"/>
          <w:sz w:val="28"/>
          <w:szCs w:val="28"/>
        </w:rPr>
      </w:pPr>
      <w:r>
        <w:rPr>
          <w:rFonts w:hint="eastAsia" w:ascii="楷体" w:hAnsi="楷体" w:eastAsia="楷体" w:cs="楷体"/>
          <w:sz w:val="28"/>
          <w:szCs w:val="28"/>
        </w:rPr>
        <w:t>过度增殖是癌症发展的标志之一。CDK4/6是控制细胞从G1期到S期过度的关键激酶，被认为是前列腺癌治疗的有吸引力的新靶点，尤其是mCRPC。p53激活后促进基因表达，诱导细胞凋亡和细胞周期阻滞。因此抑制p53是治疗侵袭性PCa的有效策略。</w:t>
      </w:r>
    </w:p>
    <w:p w14:paraId="1A105A47">
      <w:pPr>
        <w:rPr>
          <w:rFonts w:hint="eastAsia" w:ascii="楷体" w:hAnsi="楷体" w:eastAsia="楷体" w:cs="楷体"/>
          <w:sz w:val="28"/>
          <w:szCs w:val="28"/>
        </w:rPr>
      </w:pPr>
      <w:r>
        <w:rPr>
          <w:rFonts w:hint="eastAsia" w:ascii="楷体" w:hAnsi="楷体" w:eastAsia="楷体" w:cs="楷体"/>
          <w:sz w:val="28"/>
          <w:szCs w:val="28"/>
        </w:rPr>
        <w:t>PTEN缺失导致PIP3在细胞膜上异常积累，造成AKT磷酸化，调节mTOR信号表达，对蛋白合成、细胞自噬、增殖和代谢至关重要。因此PTEN的缺失或突变与晚期前列腺癌中PI3K/AKT/mTOR信号通路的激活和不良预后密切相关。目前PI3K/AKT/mTOR抑制剂在PCa临床应用有限，需进一步研究以提高其治疗效果。</w:t>
      </w:r>
    </w:p>
    <w:p w14:paraId="4EE08889">
      <w:pPr>
        <w:rPr>
          <w:rFonts w:hint="eastAsia" w:ascii="楷体" w:hAnsi="楷体" w:eastAsia="楷体" w:cs="楷体"/>
          <w:sz w:val="28"/>
          <w:szCs w:val="28"/>
        </w:rPr>
      </w:pPr>
      <w:r>
        <w:rPr>
          <w:rFonts w:hint="eastAsia" w:ascii="楷体" w:hAnsi="楷体" w:eastAsia="楷体" w:cs="楷体"/>
          <w:sz w:val="28"/>
          <w:szCs w:val="28"/>
        </w:rPr>
        <w:t>表观遗传改变与前列腺癌进展有关。异常的组蛋白或DNA修饰可能会上调致癌基因或减少肿瘤抑制基因的表达。因此靶向表观遗传修饰是强有力的治疗策略，如EZH2、LSD1、BET等抑制剂已用于临床试验。</w:t>
      </w:r>
    </w:p>
    <w:p w14:paraId="0998BED0">
      <w:pPr>
        <w:rPr>
          <w:rFonts w:hint="eastAsia" w:ascii="楷体" w:hAnsi="楷体" w:eastAsia="楷体" w:cs="楷体"/>
          <w:sz w:val="28"/>
          <w:szCs w:val="28"/>
        </w:rPr>
      </w:pPr>
      <w:r>
        <w:rPr>
          <w:rFonts w:hint="eastAsia" w:ascii="楷体" w:hAnsi="楷体" w:eastAsia="楷体" w:cs="楷体"/>
          <w:sz w:val="28"/>
          <w:szCs w:val="28"/>
        </w:rPr>
        <w:t>还有其他信号通路与前列腺癌相关。WNT在晚期PCa中被激活，促进癌细胞生长和产生耐药性。VEGFA的过度表达与患者的血管生成、复发和晚期疾病阶段有关。TGFβ或其靶基因的增加与更具侵袭性的疾病、转移和不良预后相关。TGFβ也在骨微环境中发挥重要作用，并支持前列腺癌骨转移的进展。此外，TGFβ通过其免疫抑制功能促进肿瘤生长。</w:t>
      </w:r>
    </w:p>
    <w:p w14:paraId="67D7FE8C">
      <w:pPr>
        <w:pStyle w:val="3"/>
        <w:bidi w:val="0"/>
        <w:rPr>
          <w:rFonts w:hint="eastAsia" w:ascii="楷体" w:hAnsi="楷体" w:eastAsia="楷体" w:cs="楷体"/>
          <w:b/>
        </w:rPr>
      </w:pPr>
      <w:r>
        <w:rPr>
          <w:rFonts w:hint="eastAsia" w:ascii="楷体" w:hAnsi="楷体" w:eastAsia="楷体" w:cs="楷体"/>
          <w:b/>
        </w:rPr>
        <w:t>STKs：PCa新兴靶点</w:t>
      </w:r>
    </w:p>
    <w:p w14:paraId="61BA40A2">
      <w:pPr>
        <w:rPr>
          <w:rFonts w:hint="eastAsia" w:ascii="楷体" w:hAnsi="楷体" w:eastAsia="楷体" w:cs="楷体"/>
          <w:sz w:val="28"/>
          <w:szCs w:val="28"/>
        </w:rPr>
      </w:pPr>
      <w:r>
        <w:rPr>
          <w:rFonts w:hint="eastAsia" w:ascii="楷体" w:hAnsi="楷体" w:eastAsia="楷体" w:cs="楷体"/>
          <w:sz w:val="28"/>
          <w:szCs w:val="28"/>
        </w:rPr>
        <w:t>从上文我们了解到有多种丝氨酸/苏氨酸蛋白激酶（STKs）是前列腺癌的新兴靶点。</w:t>
      </w:r>
    </w:p>
    <w:p w14:paraId="1C4ECBB5">
      <w:pPr>
        <w:rPr>
          <w:rFonts w:hint="eastAsia" w:ascii="楷体" w:hAnsi="楷体" w:eastAsia="楷体" w:cs="楷体"/>
          <w:sz w:val="28"/>
          <w:szCs w:val="28"/>
        </w:rPr>
      </w:pPr>
      <w:r>
        <w:rPr>
          <w:rFonts w:hint="eastAsia" w:ascii="楷体" w:hAnsi="楷体" w:eastAsia="楷体" w:cs="楷体"/>
          <w:sz w:val="28"/>
          <w:szCs w:val="28"/>
        </w:rPr>
        <w:t>AKT在PI3K/AKT/mTOR信号通路中的位置，练就了"十八般武艺"。AKT抑制剂能够让PIK3CA、AKT、PTEN突变的患者获益。抑制AKT活性既可避免抑制上游PI3K造成的严重副作用，也可避免抑制下游mTOR引起的负反馈机制影响药效。因此，寻找有效和选择性的AKT抑制剂是当前肿瘤靶向药物研发的重要方向。已进入临床研究的AKT抑制剂包括变构抑制剂（如哌立福新和MK-2206）和ATP竞争性抑制剂（如卡匹色替、帕他色替和优普色替）。</w:t>
      </w:r>
    </w:p>
    <w:p w14:paraId="00DFB424">
      <w:pPr>
        <w:rPr>
          <w:rFonts w:hint="eastAsia" w:ascii="楷体" w:hAnsi="楷体" w:eastAsia="楷体" w:cs="楷体"/>
          <w:sz w:val="28"/>
          <w:szCs w:val="28"/>
        </w:rPr>
      </w:pPr>
      <w:r>
        <w:rPr>
          <w:rFonts w:hint="eastAsia" w:ascii="楷体" w:hAnsi="楷体" w:eastAsia="楷体" w:cs="楷体"/>
          <w:sz w:val="28"/>
          <w:szCs w:val="28"/>
        </w:rPr>
        <w:t>mTOR同样属于丝氨酸/苏氨酸蛋白激酶，存在多种类型的抑制剂，如mTORC1抑制剂（如雷帕霉素、依维莫司和替西罗莫司）、mTORC1/2双重抑制剂（如Sapanisertib和Vistusertib）以及PI3K-mTORC1/2双重抑制剂（如Apitolisib和BEZ235）。</w:t>
      </w:r>
    </w:p>
    <w:p w14:paraId="22D99342">
      <w:pPr>
        <w:rPr>
          <w:rFonts w:hint="eastAsia" w:ascii="楷体" w:hAnsi="楷体" w:eastAsia="楷体" w:cs="楷体"/>
          <w:sz w:val="28"/>
          <w:szCs w:val="28"/>
        </w:rPr>
      </w:pPr>
      <w:r>
        <w:rPr>
          <w:rFonts w:hint="eastAsia" w:ascii="楷体" w:hAnsi="楷体" w:eastAsia="楷体" w:cs="楷体"/>
          <w:sz w:val="28"/>
          <w:szCs w:val="28"/>
        </w:rPr>
        <w:t>研究证实WEE1和CHK抑制剂在体外对前列腺癌细胞表现出杀伤效果，在体内模型中抑制肿瘤生长。</w:t>
      </w:r>
    </w:p>
    <w:p w14:paraId="674141AD">
      <w:pPr>
        <w:rPr>
          <w:rFonts w:hint="eastAsia" w:ascii="楷体" w:hAnsi="楷体" w:eastAsia="楷体" w:cs="楷体"/>
          <w:sz w:val="28"/>
          <w:szCs w:val="28"/>
        </w:rPr>
      </w:pPr>
      <w:r>
        <w:rPr>
          <w:rFonts w:hint="eastAsia" w:ascii="楷体" w:hAnsi="楷体" w:eastAsia="楷体" w:cs="楷体"/>
          <w:sz w:val="28"/>
          <w:szCs w:val="28"/>
        </w:rPr>
        <w:t>WEE1属于丝氨酸/苏氨酸激酶WEE家族，是DNA损伤修复通路关键调控激酶。WEE1在多种肿瘤中高表达。抑制WEE1会使肿瘤细胞周期进程加速，DNA损伤持续积累，最终导致肿瘤细胞凋亡。</w:t>
      </w:r>
    </w:p>
    <w:p w14:paraId="2C5BC6C7">
      <w:pPr>
        <w:rPr>
          <w:rFonts w:hint="eastAsia" w:ascii="楷体" w:hAnsi="楷体" w:eastAsia="楷体" w:cs="楷体"/>
          <w:sz w:val="28"/>
          <w:szCs w:val="28"/>
        </w:rPr>
      </w:pPr>
      <w:r>
        <w:rPr>
          <w:rFonts w:hint="eastAsia" w:ascii="楷体" w:hAnsi="楷体" w:eastAsia="楷体" w:cs="楷体"/>
          <w:sz w:val="28"/>
          <w:szCs w:val="28"/>
        </w:rPr>
        <w:t>CHK是检查点激酶，包括CHK1和CHK2。CHK1和CHK2在DNA损伤后的细胞周期检查点控制中起到核心作用，能够暂停细胞周期的进程。在前列腺癌中，CHK1和CHK2的过度活化可能导致细胞对DNA损伤的修复能力增强，从而促进肿瘤的存活和进展。CHK1抑制剂SRA737单独使用或与AZD1775联合使用，为去势抵抗性前列腺癌（CRPC）和神经内分泌前列腺癌（NEPC）患者提供潜在的有效治疗。</w:t>
      </w:r>
    </w:p>
    <w:p w14:paraId="7D96E0BE">
      <w:pPr>
        <w:rPr>
          <w:rFonts w:hint="eastAsia" w:ascii="楷体" w:hAnsi="楷体" w:eastAsia="楷体" w:cs="楷体"/>
          <w:sz w:val="28"/>
          <w:szCs w:val="28"/>
        </w:rPr>
      </w:pPr>
    </w:p>
    <w:p w14:paraId="2BD1F2E5">
      <w:pPr>
        <w:pStyle w:val="3"/>
        <w:bidi w:val="0"/>
        <w:rPr>
          <w:rFonts w:hint="eastAsia" w:ascii="楷体" w:hAnsi="楷体" w:eastAsia="楷体" w:cs="楷体"/>
          <w:b/>
        </w:rPr>
      </w:pPr>
      <w:r>
        <w:rPr>
          <w:rFonts w:hint="eastAsia" w:ascii="楷体" w:hAnsi="楷体" w:eastAsia="楷体" w:cs="楷体"/>
          <w:b/>
        </w:rPr>
        <w:t>✦义翘神州热门STKs产品</w:t>
      </w:r>
    </w:p>
    <w:p w14:paraId="205102E1">
      <w:pPr>
        <w:rPr>
          <w:rFonts w:hint="eastAsia" w:ascii="楷体" w:hAnsi="楷体" w:eastAsia="楷体" w:cs="楷体"/>
          <w:sz w:val="28"/>
          <w:szCs w:val="28"/>
        </w:rPr>
      </w:pPr>
      <w:r>
        <w:rPr>
          <w:rFonts w:hint="eastAsia" w:ascii="楷体" w:hAnsi="楷体" w:eastAsia="楷体" w:cs="楷体"/>
          <w:sz w:val="28"/>
          <w:szCs w:val="28"/>
        </w:rPr>
        <w:t>SignalChem Biotech（义翘神州全资子公司）是全球激酶蛋白重要供应商，专注于研究、开发和生产高质量酶类蛋白产品。SignalChem Biotech已成功开发1100多种具有生物活性的激酶蛋白，覆盖90%以上的人类激酶组，其中包括高品质的丝氨酸/苏氨酸激酶（STKs）产品，如CHK1、CHK2、AKT2、AKT3、WEE1等，以支持针对前列腺癌和其他疾病的药物发现和开发项目。</w:t>
      </w:r>
    </w:p>
    <w:p w14:paraId="659C12F8">
      <w:pPr>
        <w:rPr>
          <w:rFonts w:hint="eastAsia" w:ascii="楷体" w:hAnsi="楷体" w:eastAsia="楷体" w:cs="楷体"/>
          <w:sz w:val="28"/>
          <w:szCs w:val="28"/>
        </w:rPr>
      </w:pPr>
    </w:p>
    <w:p w14:paraId="657B61EE">
      <w:pPr>
        <w:rPr>
          <w:rFonts w:hint="eastAsia" w:ascii="楷体" w:hAnsi="楷体" w:eastAsia="楷体" w:cs="楷体"/>
          <w:sz w:val="28"/>
          <w:szCs w:val="28"/>
        </w:rPr>
      </w:pPr>
    </w:p>
    <w:p w14:paraId="7D9DE975">
      <w:pPr>
        <w:rPr>
          <w:rFonts w:hint="eastAsia" w:ascii="楷体" w:hAnsi="楷体" w:eastAsia="楷体" w:cs="楷体"/>
          <w:sz w:val="28"/>
          <w:szCs w:val="28"/>
        </w:rPr>
      </w:pPr>
    </w:p>
    <w:p w14:paraId="7CBB4655">
      <w:pPr>
        <w:rPr>
          <w:rFonts w:hint="eastAsia" w:ascii="楷体" w:hAnsi="楷体" w:eastAsia="楷体" w:cs="楷体"/>
          <w:sz w:val="28"/>
          <w:szCs w:val="28"/>
        </w:rPr>
      </w:pPr>
    </w:p>
    <w:p w14:paraId="11EBEB27">
      <w:pPr>
        <w:rPr>
          <w:rFonts w:hint="eastAsia" w:ascii="楷体" w:hAnsi="楷体" w:eastAsia="楷体" w:cs="楷体"/>
          <w:sz w:val="28"/>
          <w:szCs w:val="28"/>
        </w:rPr>
      </w:pPr>
    </w:p>
    <w:p w14:paraId="42B8DB54">
      <w:pPr>
        <w:rPr>
          <w:rFonts w:hint="eastAsia" w:ascii="楷体" w:hAnsi="楷体" w:eastAsia="楷体" w:cs="楷体"/>
          <w:sz w:val="28"/>
          <w:szCs w:val="28"/>
        </w:rPr>
      </w:pPr>
    </w:p>
    <w:p w14:paraId="5A791430">
      <w:pPr>
        <w:rPr>
          <w:rFonts w:hint="eastAsia" w:ascii="楷体" w:hAnsi="楷体" w:eastAsia="楷体" w:cs="楷体"/>
          <w:sz w:val="28"/>
          <w:szCs w:val="28"/>
        </w:rPr>
      </w:pPr>
    </w:p>
    <w:tbl>
      <w:tblPr>
        <w:tblW w:w="503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111"/>
        <w:gridCol w:w="2538"/>
        <w:gridCol w:w="1859"/>
        <w:gridCol w:w="1874"/>
      </w:tblGrid>
      <w:tr w14:paraId="0AABB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72" w:hRule="atLeast"/>
        </w:trPr>
        <w:tc>
          <w:tcPr>
            <w:tcW w:w="5000" w:type="pct"/>
            <w:gridSpan w:val="4"/>
            <w:tcBorders>
              <w:top w:val="single" w:color="FFFFFF" w:sz="6" w:space="0"/>
              <w:left w:val="single" w:color="FFFFFF" w:sz="6" w:space="0"/>
              <w:bottom w:val="single" w:color="FFFFFF" w:sz="6" w:space="0"/>
              <w:right w:val="single" w:color="FFFFFF" w:sz="6" w:space="0"/>
            </w:tcBorders>
            <w:shd w:val="clear" w:color="auto" w:fill="006453"/>
            <w:tcMar>
              <w:top w:w="0" w:type="dxa"/>
              <w:left w:w="0" w:type="dxa"/>
              <w:bottom w:w="0" w:type="dxa"/>
              <w:right w:w="0" w:type="dxa"/>
            </w:tcMar>
            <w:vAlign w:val="center"/>
          </w:tcPr>
          <w:p w14:paraId="7C2495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Style w:val="7"/>
                <w:rFonts w:hint="eastAsia" w:ascii="楷体" w:hAnsi="楷体" w:eastAsia="楷体" w:cs="楷体"/>
                <w:sz w:val="24"/>
                <w:szCs w:val="24"/>
                <w:bdr w:val="none" w:color="auto" w:sz="0" w:space="0"/>
              </w:rPr>
              <w:t>义翘神州STKs激酶产品</w:t>
            </w:r>
          </w:p>
        </w:tc>
      </w:tr>
      <w:tr w14:paraId="20116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259"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74B616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货号</w:t>
            </w:r>
          </w:p>
        </w:tc>
        <w:tc>
          <w:tcPr>
            <w:tcW w:w="1514"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54FCC7E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激酶</w:t>
            </w:r>
          </w:p>
        </w:tc>
        <w:tc>
          <w:tcPr>
            <w:tcW w:w="1109"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1B15B8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种属 </w:t>
            </w:r>
          </w:p>
        </w:tc>
        <w:tc>
          <w:tcPr>
            <w:tcW w:w="1116"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5F61C6F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标签</w:t>
            </w:r>
          </w:p>
        </w:tc>
      </w:tr>
      <w:tr w14:paraId="509D0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7311852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rPr>
              <w:fldChar w:fldCharType="begin"/>
            </w:r>
            <w:r>
              <w:rPr>
                <w:rFonts w:hint="eastAsia" w:ascii="楷体" w:hAnsi="楷体" w:eastAsia="楷体" w:cs="楷体"/>
                <w:color w:val="auto"/>
                <w:sz w:val="24"/>
                <w:szCs w:val="24"/>
                <w:u w:val="none"/>
              </w:rPr>
              <w:instrText xml:space="preserve"> HYPERLINK "https://cn.sinobiological.com/recombinant-proteins/human-mark3-m45-10g-scb" </w:instrText>
            </w:r>
            <w:r>
              <w:rPr>
                <w:rFonts w:hint="eastAsia" w:ascii="楷体" w:hAnsi="楷体" w:eastAsia="楷体" w:cs="楷体"/>
                <w:color w:val="auto"/>
                <w:sz w:val="24"/>
                <w:szCs w:val="24"/>
                <w:u w:val="none"/>
              </w:rPr>
              <w:fldChar w:fldCharType="separate"/>
            </w:r>
            <w:r>
              <w:rPr>
                <w:rStyle w:val="8"/>
                <w:rFonts w:hint="eastAsia" w:ascii="楷体" w:hAnsi="楷体" w:eastAsia="楷体" w:cs="楷体"/>
                <w:sz w:val="24"/>
                <w:szCs w:val="24"/>
              </w:rPr>
              <w:t>M45-10G</w:t>
            </w:r>
            <w:r>
              <w:rPr>
                <w:rFonts w:hint="eastAsia" w:ascii="楷体" w:hAnsi="楷体" w:eastAsia="楷体" w:cs="楷体"/>
                <w:color w:val="auto"/>
                <w:sz w:val="24"/>
                <w:szCs w:val="24"/>
                <w:u w:val="none"/>
              </w:rPr>
              <w:fldChar w:fldCharType="end"/>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6B17DA8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MARK3,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1A3C03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2BAE0A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GST</w:t>
            </w:r>
          </w:p>
        </w:tc>
      </w:tr>
      <w:tr w14:paraId="65AAC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6"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5A676C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fldChar w:fldCharType="begin"/>
            </w:r>
            <w:r>
              <w:rPr>
                <w:rFonts w:hint="eastAsia" w:ascii="楷体" w:hAnsi="楷体" w:eastAsia="楷体" w:cs="楷体"/>
                <w:color w:val="auto"/>
                <w:sz w:val="24"/>
                <w:szCs w:val="24"/>
                <w:u w:val="none"/>
                <w:bdr w:val="none" w:color="auto" w:sz="0" w:space="0"/>
              </w:rPr>
              <w:instrText xml:space="preserve"> HYPERLINK "https://cn.sinobiological.com/recombinant-proteins/human-wee1-w01-11g-scb" </w:instrText>
            </w:r>
            <w:r>
              <w:rPr>
                <w:rFonts w:hint="eastAsia" w:ascii="楷体" w:hAnsi="楷体" w:eastAsia="楷体" w:cs="楷体"/>
                <w:color w:val="auto"/>
                <w:sz w:val="24"/>
                <w:szCs w:val="24"/>
                <w:u w:val="none"/>
                <w:bdr w:val="none" w:color="auto" w:sz="0" w:space="0"/>
              </w:rPr>
              <w:fldChar w:fldCharType="separate"/>
            </w:r>
            <w:r>
              <w:rPr>
                <w:rStyle w:val="8"/>
                <w:rFonts w:hint="eastAsia" w:ascii="楷体" w:hAnsi="楷体" w:eastAsia="楷体" w:cs="楷体"/>
                <w:sz w:val="24"/>
                <w:szCs w:val="24"/>
                <w:bdr w:val="none" w:color="auto" w:sz="0" w:space="0"/>
              </w:rPr>
              <w:t>W01-11G</w:t>
            </w:r>
            <w:r>
              <w:rPr>
                <w:rFonts w:hint="eastAsia" w:ascii="楷体" w:hAnsi="楷体" w:eastAsia="楷体" w:cs="楷体"/>
                <w:color w:val="auto"/>
                <w:sz w:val="24"/>
                <w:szCs w:val="24"/>
                <w:u w:val="none"/>
                <w:bdr w:val="none" w:color="auto" w:sz="0" w:space="0"/>
              </w:rPr>
              <w:fldChar w:fldCharType="end"/>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73E24A0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WEE1,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FF0DF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A1634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GST</w:t>
            </w:r>
          </w:p>
        </w:tc>
      </w:tr>
      <w:tr w14:paraId="01101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7"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66DA3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fldChar w:fldCharType="begin"/>
            </w:r>
            <w:r>
              <w:rPr>
                <w:rFonts w:hint="eastAsia" w:ascii="楷体" w:hAnsi="楷体" w:eastAsia="楷体" w:cs="楷体"/>
                <w:color w:val="auto"/>
                <w:sz w:val="24"/>
                <w:szCs w:val="24"/>
                <w:u w:val="none"/>
                <w:bdr w:val="none" w:color="auto" w:sz="0" w:space="0"/>
              </w:rPr>
              <w:instrText xml:space="preserve"> HYPERLINK "https://cn.sinobiological.com/recombinant-proteins/human-chk1-c47-10h-scb" </w:instrText>
            </w:r>
            <w:r>
              <w:rPr>
                <w:rFonts w:hint="eastAsia" w:ascii="楷体" w:hAnsi="楷体" w:eastAsia="楷体" w:cs="楷体"/>
                <w:color w:val="auto"/>
                <w:sz w:val="24"/>
                <w:szCs w:val="24"/>
                <w:u w:val="none"/>
                <w:bdr w:val="none" w:color="auto" w:sz="0" w:space="0"/>
              </w:rPr>
              <w:fldChar w:fldCharType="separate"/>
            </w:r>
            <w:r>
              <w:rPr>
                <w:rStyle w:val="8"/>
                <w:rFonts w:hint="eastAsia" w:ascii="楷体" w:hAnsi="楷体" w:eastAsia="楷体" w:cs="楷体"/>
                <w:sz w:val="24"/>
                <w:szCs w:val="24"/>
                <w:bdr w:val="none" w:color="auto" w:sz="0" w:space="0"/>
              </w:rPr>
              <w:t>C47-10H</w:t>
            </w:r>
            <w:r>
              <w:rPr>
                <w:rFonts w:hint="eastAsia" w:ascii="楷体" w:hAnsi="楷体" w:eastAsia="楷体" w:cs="楷体"/>
                <w:color w:val="auto"/>
                <w:sz w:val="24"/>
                <w:szCs w:val="24"/>
                <w:u w:val="none"/>
                <w:bdr w:val="none" w:color="auto" w:sz="0" w:space="0"/>
              </w:rPr>
              <w:fldChar w:fldCharType="end"/>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95054B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CHK1,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CF4EA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2F957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His</w:t>
            </w:r>
          </w:p>
        </w:tc>
      </w:tr>
      <w:tr w14:paraId="32ADE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2"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4E1BF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t>C48-10G</w:t>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5E2C52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CHK2,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E419A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BFE46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GST</w:t>
            </w:r>
          </w:p>
        </w:tc>
      </w:tr>
      <w:tr w14:paraId="10DE8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63566A2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t>A17-10H</w:t>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1E1DB3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AKT2,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E4A9A9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6940D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His</w:t>
            </w:r>
          </w:p>
        </w:tc>
      </w:tr>
      <w:tr w14:paraId="21507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2"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E5A3B8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t>A18-10G</w:t>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0FA1B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AKT3,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440F04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5F7141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GST</w:t>
            </w:r>
          </w:p>
        </w:tc>
      </w:tr>
      <w:tr w14:paraId="4F36F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2" w:hRule="atLeast"/>
        </w:trPr>
        <w:tc>
          <w:tcPr>
            <w:tcW w:w="125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5581EBC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t>M32B-10G</w:t>
            </w:r>
          </w:p>
        </w:tc>
        <w:tc>
          <w:tcPr>
            <w:tcW w:w="1514"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57834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ERK5, Active</w:t>
            </w:r>
          </w:p>
        </w:tc>
        <w:tc>
          <w:tcPr>
            <w:tcW w:w="1109"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61AF1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Human</w:t>
            </w:r>
          </w:p>
        </w:tc>
        <w:tc>
          <w:tcPr>
            <w:tcW w:w="1116"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F82B7E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GST</w:t>
            </w:r>
          </w:p>
        </w:tc>
      </w:tr>
    </w:tbl>
    <w:p w14:paraId="0FA43209">
      <w:pPr>
        <w:rPr>
          <w:rFonts w:hint="eastAsia" w:ascii="楷体" w:hAnsi="楷体" w:eastAsia="楷体" w:cs="楷体"/>
          <w:sz w:val="28"/>
          <w:szCs w:val="28"/>
        </w:rPr>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522"/>
        <w:gridCol w:w="4035"/>
        <w:gridCol w:w="1765"/>
      </w:tblGrid>
      <w:tr w14:paraId="62BE5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7" w:hRule="atLeast"/>
        </w:trPr>
        <w:tc>
          <w:tcPr>
            <w:tcW w:w="4950" w:type="pct"/>
            <w:gridSpan w:val="3"/>
            <w:tcBorders>
              <w:top w:val="single" w:color="FFFFFF" w:sz="6" w:space="0"/>
              <w:left w:val="single" w:color="FFFFFF" w:sz="6" w:space="0"/>
              <w:bottom w:val="single" w:color="FFFFFF" w:sz="6" w:space="0"/>
              <w:right w:val="single" w:color="FFFFFF" w:sz="6" w:space="0"/>
            </w:tcBorders>
            <w:shd w:val="clear" w:color="auto" w:fill="006453"/>
            <w:tcMar>
              <w:top w:w="0" w:type="dxa"/>
              <w:left w:w="0" w:type="dxa"/>
              <w:bottom w:w="0" w:type="dxa"/>
              <w:right w:w="0" w:type="dxa"/>
            </w:tcMar>
            <w:vAlign w:val="center"/>
          </w:tcPr>
          <w:p w14:paraId="451B7D7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楷体" w:hAnsi="楷体" w:eastAsia="楷体" w:cs="楷体"/>
                <w:sz w:val="24"/>
                <w:szCs w:val="24"/>
              </w:rPr>
            </w:pPr>
            <w:r>
              <w:rPr>
                <w:rStyle w:val="7"/>
                <w:rFonts w:hint="eastAsia" w:ascii="楷体" w:hAnsi="楷体" w:eastAsia="楷体" w:cs="楷体"/>
                <w:sz w:val="24"/>
                <w:szCs w:val="24"/>
                <w:bdr w:val="none" w:color="auto" w:sz="0" w:space="0"/>
              </w:rPr>
              <w:t>义翘神州STKs相关磷酸化抗体</w:t>
            </w:r>
          </w:p>
        </w:tc>
      </w:tr>
      <w:tr w14:paraId="7400D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0"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4C2BBB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货号</w:t>
            </w:r>
          </w:p>
        </w:tc>
        <w:tc>
          <w:tcPr>
            <w:tcW w:w="2400"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79824D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抗体</w:t>
            </w:r>
          </w:p>
        </w:tc>
        <w:tc>
          <w:tcPr>
            <w:tcW w:w="1050" w:type="pct"/>
            <w:tcBorders>
              <w:top w:val="single" w:color="FFFFFF" w:sz="6" w:space="0"/>
              <w:left w:val="single" w:color="FFFFFF" w:sz="6" w:space="0"/>
              <w:bottom w:val="single" w:color="FFFFFF" w:sz="6" w:space="0"/>
              <w:right w:val="single" w:color="FFFFFF" w:sz="6" w:space="0"/>
            </w:tcBorders>
            <w:shd w:val="clear" w:color="auto" w:fill="47C1A8"/>
            <w:tcMar>
              <w:top w:w="0" w:type="dxa"/>
              <w:left w:w="0" w:type="dxa"/>
              <w:bottom w:w="0" w:type="dxa"/>
              <w:right w:w="0" w:type="dxa"/>
            </w:tcMar>
            <w:vAlign w:val="center"/>
          </w:tcPr>
          <w:p w14:paraId="4CDD67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Style w:val="7"/>
                <w:rFonts w:hint="eastAsia" w:ascii="楷体" w:hAnsi="楷体" w:eastAsia="楷体" w:cs="楷体"/>
                <w:sz w:val="24"/>
                <w:szCs w:val="24"/>
                <w:bdr w:val="none" w:color="auto" w:sz="0" w:space="0"/>
              </w:rPr>
              <w:t>应用 </w:t>
            </w:r>
          </w:p>
        </w:tc>
      </w:tr>
      <w:tr w14:paraId="4627E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FAD68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color w:val="auto"/>
                <w:sz w:val="24"/>
                <w:szCs w:val="24"/>
                <w:u w:val="none"/>
                <w:bdr w:val="none" w:color="auto" w:sz="0" w:space="0"/>
              </w:rPr>
              <w:fldChar w:fldCharType="begin"/>
            </w:r>
            <w:r>
              <w:rPr>
                <w:rFonts w:hint="eastAsia" w:ascii="楷体" w:hAnsi="楷体" w:eastAsia="楷体" w:cs="楷体"/>
                <w:color w:val="auto"/>
                <w:sz w:val="24"/>
                <w:szCs w:val="24"/>
                <w:u w:val="none"/>
                <w:bdr w:val="none" w:color="auto" w:sz="0" w:space="0"/>
              </w:rPr>
              <w:instrText xml:space="preserve"> HYPERLINK "https://cn.sinobiological.com/antibodies/akt1-110591-r0113" </w:instrText>
            </w:r>
            <w:r>
              <w:rPr>
                <w:rFonts w:hint="eastAsia" w:ascii="楷体" w:hAnsi="楷体" w:eastAsia="楷体" w:cs="楷体"/>
                <w:color w:val="auto"/>
                <w:sz w:val="24"/>
                <w:szCs w:val="24"/>
                <w:u w:val="none"/>
                <w:bdr w:val="none" w:color="auto" w:sz="0" w:space="0"/>
              </w:rPr>
              <w:fldChar w:fldCharType="separate"/>
            </w:r>
            <w:r>
              <w:rPr>
                <w:rStyle w:val="8"/>
                <w:rFonts w:hint="eastAsia" w:ascii="楷体" w:hAnsi="楷体" w:eastAsia="楷体" w:cs="楷体"/>
                <w:sz w:val="24"/>
                <w:szCs w:val="24"/>
                <w:bdr w:val="none" w:color="auto" w:sz="0" w:space="0"/>
              </w:rPr>
              <w:t>110591-R0113</w:t>
            </w:r>
            <w:r>
              <w:rPr>
                <w:rFonts w:hint="eastAsia" w:ascii="楷体" w:hAnsi="楷体" w:eastAsia="楷体" w:cs="楷体"/>
                <w:color w:val="auto"/>
                <w:sz w:val="24"/>
                <w:szCs w:val="24"/>
                <w:u w:val="none"/>
                <w:bdr w:val="none" w:color="auto" w:sz="0" w:space="0"/>
              </w:rPr>
              <w:fldChar w:fldCharType="end"/>
            </w:r>
          </w:p>
        </w:tc>
        <w:tc>
          <w:tcPr>
            <w:tcW w:w="24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0C04E47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Phospho-AKT (Ser473) Antibody, Rabbit MAb</w:t>
            </w:r>
          </w:p>
        </w:tc>
        <w:tc>
          <w:tcPr>
            <w:tcW w:w="105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126D3E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WB, IHC-P</w:t>
            </w:r>
          </w:p>
        </w:tc>
      </w:tr>
      <w:tr w14:paraId="4BF44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1A92B16">
            <w:pPr>
              <w:keepNext w:val="0"/>
              <w:keepLines w:val="0"/>
              <w:widowControl/>
              <w:suppressLineNumbers w:val="0"/>
              <w:jc w:val="left"/>
              <w:rPr>
                <w:rFonts w:hint="eastAsia" w:ascii="楷体" w:hAnsi="楷体" w:eastAsia="楷体" w:cs="楷体"/>
                <w:color w:val="auto"/>
                <w:sz w:val="24"/>
                <w:szCs w:val="24"/>
                <w:u w:val="none"/>
              </w:rPr>
            </w:pPr>
          </w:p>
          <w:p w14:paraId="467715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color w:val="auto"/>
                <w:sz w:val="24"/>
                <w:szCs w:val="24"/>
                <w:u w:val="none"/>
              </w:rPr>
            </w:pPr>
            <w:r>
              <w:rPr>
                <w:rFonts w:hint="eastAsia" w:ascii="楷体" w:hAnsi="楷体" w:eastAsia="楷体" w:cs="楷体"/>
                <w:color w:val="auto"/>
                <w:sz w:val="24"/>
                <w:szCs w:val="24"/>
                <w:u w:val="none"/>
                <w:bdr w:val="none" w:color="auto" w:sz="0" w:space="0"/>
              </w:rPr>
              <w:t>109513-R0006</w:t>
            </w:r>
          </w:p>
          <w:p w14:paraId="0893D31D">
            <w:pPr>
              <w:keepNext w:val="0"/>
              <w:keepLines w:val="0"/>
              <w:widowControl/>
              <w:suppressLineNumbers w:val="0"/>
              <w:jc w:val="left"/>
              <w:rPr>
                <w:rFonts w:hint="eastAsia" w:ascii="楷体" w:hAnsi="楷体" w:eastAsia="楷体" w:cs="楷体"/>
                <w:sz w:val="24"/>
                <w:szCs w:val="24"/>
              </w:rPr>
            </w:pPr>
          </w:p>
        </w:tc>
        <w:tc>
          <w:tcPr>
            <w:tcW w:w="24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62AEF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Phospho-mTOR (Ser2448) Antibody, Rabbit MAb</w:t>
            </w:r>
          </w:p>
        </w:tc>
        <w:tc>
          <w:tcPr>
            <w:tcW w:w="105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6661EA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WB</w:t>
            </w:r>
          </w:p>
        </w:tc>
      </w:tr>
      <w:tr w14:paraId="5359D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DD8E9F5">
            <w:pPr>
              <w:keepNext w:val="0"/>
              <w:keepLines w:val="0"/>
              <w:widowControl/>
              <w:suppressLineNumbers w:val="0"/>
              <w:jc w:val="left"/>
              <w:rPr>
                <w:rFonts w:hint="eastAsia" w:ascii="楷体" w:hAnsi="楷体" w:eastAsia="楷体" w:cs="楷体"/>
                <w:color w:val="auto"/>
                <w:sz w:val="24"/>
                <w:szCs w:val="24"/>
                <w:u w:val="none"/>
              </w:rPr>
            </w:pPr>
          </w:p>
          <w:p w14:paraId="467185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color w:val="auto"/>
                <w:sz w:val="24"/>
                <w:szCs w:val="24"/>
                <w:u w:val="none"/>
              </w:rPr>
            </w:pPr>
            <w:r>
              <w:rPr>
                <w:rFonts w:hint="eastAsia" w:ascii="楷体" w:hAnsi="楷体" w:eastAsia="楷体" w:cs="楷体"/>
                <w:color w:val="auto"/>
                <w:sz w:val="24"/>
                <w:szCs w:val="24"/>
                <w:u w:val="none"/>
                <w:bdr w:val="none" w:color="auto" w:sz="0" w:space="0"/>
              </w:rPr>
              <w:fldChar w:fldCharType="begin"/>
            </w:r>
            <w:r>
              <w:rPr>
                <w:rFonts w:hint="eastAsia" w:ascii="楷体" w:hAnsi="楷体" w:eastAsia="楷体" w:cs="楷体"/>
                <w:color w:val="auto"/>
                <w:sz w:val="24"/>
                <w:szCs w:val="24"/>
                <w:u w:val="none"/>
                <w:bdr w:val="none" w:color="auto" w:sz="0" w:space="0"/>
              </w:rPr>
              <w:instrText xml:space="preserve"> HYPERLINK "https://cn.sinobiological.com/antibodies/chk1-110565-r0009" </w:instrText>
            </w:r>
            <w:r>
              <w:rPr>
                <w:rFonts w:hint="eastAsia" w:ascii="楷体" w:hAnsi="楷体" w:eastAsia="楷体" w:cs="楷体"/>
                <w:color w:val="auto"/>
                <w:sz w:val="24"/>
                <w:szCs w:val="24"/>
                <w:u w:val="none"/>
                <w:bdr w:val="none" w:color="auto" w:sz="0" w:space="0"/>
              </w:rPr>
              <w:fldChar w:fldCharType="separate"/>
            </w:r>
            <w:r>
              <w:rPr>
                <w:rStyle w:val="8"/>
                <w:rFonts w:hint="eastAsia" w:ascii="楷体" w:hAnsi="楷体" w:eastAsia="楷体" w:cs="楷体"/>
                <w:sz w:val="24"/>
                <w:szCs w:val="24"/>
                <w:bdr w:val="none" w:color="auto" w:sz="0" w:space="0"/>
              </w:rPr>
              <w:t>110565-R0009</w:t>
            </w:r>
            <w:r>
              <w:rPr>
                <w:rFonts w:hint="eastAsia" w:ascii="楷体" w:hAnsi="楷体" w:eastAsia="楷体" w:cs="楷体"/>
                <w:color w:val="auto"/>
                <w:sz w:val="24"/>
                <w:szCs w:val="24"/>
                <w:u w:val="none"/>
                <w:bdr w:val="none" w:color="auto" w:sz="0" w:space="0"/>
              </w:rPr>
              <w:fldChar w:fldCharType="end"/>
            </w:r>
          </w:p>
          <w:p w14:paraId="5415D57F">
            <w:pPr>
              <w:keepNext w:val="0"/>
              <w:keepLines w:val="0"/>
              <w:widowControl/>
              <w:suppressLineNumbers w:val="0"/>
              <w:jc w:val="left"/>
              <w:rPr>
                <w:rFonts w:hint="eastAsia" w:ascii="楷体" w:hAnsi="楷体" w:eastAsia="楷体" w:cs="楷体"/>
                <w:sz w:val="24"/>
                <w:szCs w:val="24"/>
              </w:rPr>
            </w:pPr>
          </w:p>
        </w:tc>
        <w:tc>
          <w:tcPr>
            <w:tcW w:w="24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E74B0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Phospho-Chk1 (Ser345) Antibody, Rabbit MAb</w:t>
            </w:r>
          </w:p>
        </w:tc>
        <w:tc>
          <w:tcPr>
            <w:tcW w:w="105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6871CE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WB</w:t>
            </w:r>
          </w:p>
        </w:tc>
      </w:tr>
      <w:tr w14:paraId="0D473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15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41386CE">
            <w:pPr>
              <w:keepNext w:val="0"/>
              <w:keepLines w:val="0"/>
              <w:widowControl/>
              <w:suppressLineNumbers w:val="0"/>
              <w:jc w:val="left"/>
              <w:rPr>
                <w:rFonts w:hint="eastAsia" w:ascii="楷体" w:hAnsi="楷体" w:eastAsia="楷体" w:cs="楷体"/>
                <w:color w:val="auto"/>
                <w:sz w:val="24"/>
                <w:szCs w:val="24"/>
                <w:u w:val="none"/>
              </w:rPr>
            </w:pPr>
          </w:p>
          <w:p w14:paraId="16B99D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color w:val="auto"/>
                <w:sz w:val="24"/>
                <w:szCs w:val="24"/>
                <w:u w:val="none"/>
              </w:rPr>
            </w:pPr>
            <w:r>
              <w:rPr>
                <w:rFonts w:hint="eastAsia" w:ascii="楷体" w:hAnsi="楷体" w:eastAsia="楷体" w:cs="楷体"/>
                <w:color w:val="auto"/>
                <w:sz w:val="24"/>
                <w:szCs w:val="24"/>
                <w:u w:val="none"/>
                <w:bdr w:val="none" w:color="auto" w:sz="0" w:space="0"/>
              </w:rPr>
              <w:t>111279-R0045</w:t>
            </w:r>
          </w:p>
          <w:p w14:paraId="142B0C92">
            <w:pPr>
              <w:keepNext w:val="0"/>
              <w:keepLines w:val="0"/>
              <w:widowControl/>
              <w:suppressLineNumbers w:val="0"/>
              <w:jc w:val="left"/>
              <w:rPr>
                <w:rFonts w:hint="eastAsia" w:ascii="楷体" w:hAnsi="楷体" w:eastAsia="楷体" w:cs="楷体"/>
                <w:sz w:val="24"/>
                <w:szCs w:val="24"/>
              </w:rPr>
            </w:pPr>
          </w:p>
        </w:tc>
        <w:tc>
          <w:tcPr>
            <w:tcW w:w="24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4B74CEC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Phospho-Chk1 (Ser317) Antibody, Rabbit MAb</w:t>
            </w:r>
          </w:p>
        </w:tc>
        <w:tc>
          <w:tcPr>
            <w:tcW w:w="105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6CEDE6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WB, IHC-P</w:t>
            </w:r>
          </w:p>
        </w:tc>
      </w:tr>
      <w:tr w14:paraId="4EDFA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3C4EABBE">
            <w:pPr>
              <w:keepNext w:val="0"/>
              <w:keepLines w:val="0"/>
              <w:widowControl/>
              <w:suppressLineNumbers w:val="0"/>
              <w:jc w:val="left"/>
              <w:rPr>
                <w:rFonts w:hint="eastAsia" w:ascii="楷体" w:hAnsi="楷体" w:eastAsia="楷体" w:cs="楷体"/>
                <w:color w:val="auto"/>
                <w:sz w:val="24"/>
                <w:szCs w:val="24"/>
                <w:u w:val="none"/>
              </w:rPr>
            </w:pPr>
          </w:p>
          <w:p w14:paraId="5C610D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color w:val="auto"/>
                <w:sz w:val="24"/>
                <w:szCs w:val="24"/>
                <w:u w:val="none"/>
              </w:rPr>
            </w:pPr>
            <w:r>
              <w:rPr>
                <w:rFonts w:hint="eastAsia" w:ascii="楷体" w:hAnsi="楷体" w:eastAsia="楷体" w:cs="楷体"/>
                <w:color w:val="auto"/>
                <w:sz w:val="24"/>
                <w:szCs w:val="24"/>
                <w:u w:val="none"/>
                <w:bdr w:val="none" w:color="auto" w:sz="0" w:space="0"/>
              </w:rPr>
              <w:fldChar w:fldCharType="begin"/>
            </w:r>
            <w:r>
              <w:rPr>
                <w:rFonts w:hint="eastAsia" w:ascii="楷体" w:hAnsi="楷体" w:eastAsia="楷体" w:cs="楷体"/>
                <w:color w:val="auto"/>
                <w:sz w:val="24"/>
                <w:szCs w:val="24"/>
                <w:u w:val="none"/>
                <w:bdr w:val="none" w:color="auto" w:sz="0" w:space="0"/>
              </w:rPr>
              <w:instrText xml:space="preserve"> HYPERLINK "https://cn.sinobiological.com/antibodies/human-chek2-111277-r0032" </w:instrText>
            </w:r>
            <w:r>
              <w:rPr>
                <w:rFonts w:hint="eastAsia" w:ascii="楷体" w:hAnsi="楷体" w:eastAsia="楷体" w:cs="楷体"/>
                <w:color w:val="auto"/>
                <w:sz w:val="24"/>
                <w:szCs w:val="24"/>
                <w:u w:val="none"/>
                <w:bdr w:val="none" w:color="auto" w:sz="0" w:space="0"/>
              </w:rPr>
              <w:fldChar w:fldCharType="separate"/>
            </w:r>
            <w:r>
              <w:rPr>
                <w:rStyle w:val="8"/>
                <w:rFonts w:hint="eastAsia" w:ascii="楷体" w:hAnsi="楷体" w:eastAsia="楷体" w:cs="楷体"/>
                <w:sz w:val="24"/>
                <w:szCs w:val="24"/>
                <w:bdr w:val="none" w:color="auto" w:sz="0" w:space="0"/>
              </w:rPr>
              <w:t>111277-R0032</w:t>
            </w:r>
            <w:r>
              <w:rPr>
                <w:rFonts w:hint="eastAsia" w:ascii="楷体" w:hAnsi="楷体" w:eastAsia="楷体" w:cs="楷体"/>
                <w:color w:val="auto"/>
                <w:sz w:val="24"/>
                <w:szCs w:val="24"/>
                <w:u w:val="none"/>
                <w:bdr w:val="none" w:color="auto" w:sz="0" w:space="0"/>
              </w:rPr>
              <w:fldChar w:fldCharType="end"/>
            </w:r>
          </w:p>
          <w:p w14:paraId="21C5B0F1">
            <w:pPr>
              <w:keepNext w:val="0"/>
              <w:keepLines w:val="0"/>
              <w:widowControl/>
              <w:suppressLineNumbers w:val="0"/>
              <w:jc w:val="left"/>
              <w:rPr>
                <w:rFonts w:hint="eastAsia" w:ascii="楷体" w:hAnsi="楷体" w:eastAsia="楷体" w:cs="楷体"/>
                <w:sz w:val="24"/>
                <w:szCs w:val="24"/>
              </w:rPr>
            </w:pPr>
          </w:p>
        </w:tc>
        <w:tc>
          <w:tcPr>
            <w:tcW w:w="240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5666ED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Phospho-Chk2 (Thr68) Antibody, Rabbit MAb</w:t>
            </w:r>
          </w:p>
        </w:tc>
        <w:tc>
          <w:tcPr>
            <w:tcW w:w="1050" w:type="pct"/>
            <w:tcBorders>
              <w:top w:val="single" w:color="47C1A8" w:sz="6" w:space="0"/>
              <w:left w:val="single" w:color="47C1A8" w:sz="6" w:space="0"/>
              <w:bottom w:val="single" w:color="47C1A8" w:sz="6" w:space="0"/>
              <w:right w:val="single" w:color="47C1A8" w:sz="6" w:space="0"/>
            </w:tcBorders>
            <w:shd w:val="clear" w:color="auto" w:fill="FBF9FC"/>
            <w:tcMar>
              <w:top w:w="0" w:type="dxa"/>
              <w:left w:w="0" w:type="dxa"/>
              <w:bottom w:w="0" w:type="dxa"/>
              <w:right w:w="0" w:type="dxa"/>
            </w:tcMar>
            <w:vAlign w:val="center"/>
          </w:tcPr>
          <w:p w14:paraId="269FED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楷体" w:hAnsi="楷体" w:eastAsia="楷体" w:cs="楷体"/>
                <w:sz w:val="24"/>
                <w:szCs w:val="24"/>
              </w:rPr>
            </w:pPr>
            <w:r>
              <w:rPr>
                <w:rFonts w:hint="eastAsia" w:ascii="楷体" w:hAnsi="楷体" w:eastAsia="楷体" w:cs="楷体"/>
                <w:sz w:val="24"/>
                <w:szCs w:val="24"/>
                <w:bdr w:val="none" w:color="auto" w:sz="0" w:space="0"/>
              </w:rPr>
              <w:t>WB</w:t>
            </w:r>
          </w:p>
        </w:tc>
      </w:tr>
    </w:tbl>
    <w:p w14:paraId="396067E9">
      <w:pPr>
        <w:rPr>
          <w:rFonts w:hint="eastAsia" w:ascii="楷体" w:hAnsi="楷体" w:eastAsia="楷体" w:cs="楷体"/>
          <w:sz w:val="28"/>
          <w:szCs w:val="28"/>
        </w:rPr>
      </w:pPr>
    </w:p>
    <w:p w14:paraId="79928702">
      <w:pPr>
        <w:rPr>
          <w:rFonts w:hint="eastAsia" w:ascii="楷体" w:hAnsi="楷体" w:eastAsia="楷体" w:cs="楷体"/>
          <w:sz w:val="28"/>
          <w:szCs w:val="28"/>
        </w:rPr>
      </w:pPr>
      <w:r>
        <w:rPr>
          <w:rFonts w:hint="eastAsia" w:ascii="楷体" w:hAnsi="楷体" w:eastAsia="楷体" w:cs="楷体"/>
          <w:sz w:val="28"/>
          <w:szCs w:val="28"/>
        </w:rPr>
        <w:t>免责声明：义翘神州内容团队仅是分享和解读公开的研究论文及其发现，专注于介绍全球生物医药研究新进展。本文仅作信息交流用，文中观点不代表义翘神州立场。随着对疾病机制研究的深入，新的实验结果或结论可能会修改或推翻文中的描述，还请大家理解。</w:t>
      </w:r>
    </w:p>
    <w:p w14:paraId="183F46BC">
      <w:pPr>
        <w:rPr>
          <w:rFonts w:hint="eastAsia" w:ascii="楷体" w:hAnsi="楷体" w:eastAsia="楷体" w:cs="楷体"/>
          <w:sz w:val="28"/>
          <w:szCs w:val="28"/>
        </w:rPr>
      </w:pPr>
    </w:p>
    <w:p w14:paraId="74EE27DE">
      <w:pPr>
        <w:rPr>
          <w:rFonts w:hint="eastAsia" w:ascii="楷体" w:hAnsi="楷体" w:eastAsia="楷体" w:cs="楷体"/>
          <w:sz w:val="28"/>
          <w:szCs w:val="28"/>
        </w:rPr>
      </w:pPr>
    </w:p>
    <w:p w14:paraId="15BE9260">
      <w:pPr>
        <w:rPr>
          <w:rFonts w:hint="eastAsia" w:ascii="楷体" w:hAnsi="楷体" w:eastAsia="楷体" w:cs="楷体"/>
          <w:sz w:val="28"/>
          <w:szCs w:val="28"/>
        </w:rPr>
      </w:pPr>
    </w:p>
    <w:p w14:paraId="49C110BB">
      <w:pPr>
        <w:rPr>
          <w:rFonts w:hint="eastAsia" w:ascii="楷体" w:hAnsi="楷体" w:eastAsia="楷体" w:cs="楷体"/>
          <w:sz w:val="28"/>
          <w:szCs w:val="28"/>
        </w:rPr>
      </w:pPr>
      <w:r>
        <w:rPr>
          <w:rFonts w:hint="eastAsia" w:ascii="楷体" w:hAnsi="楷体" w:eastAsia="楷体" w:cs="楷体"/>
          <w:sz w:val="28"/>
          <w:szCs w:val="28"/>
        </w:rPr>
        <w:t>本文不属于治疗方案推荐，如需获得治疗方案指导，请前往正规医院就诊。</w:t>
      </w:r>
    </w:p>
    <w:p w14:paraId="1C08D6BA">
      <w:pPr>
        <w:rPr>
          <w:rFonts w:hint="eastAsia" w:ascii="楷体" w:hAnsi="楷体" w:eastAsia="楷体" w:cs="楷体"/>
          <w:sz w:val="28"/>
          <w:szCs w:val="28"/>
        </w:rPr>
      </w:pPr>
    </w:p>
    <w:p w14:paraId="01FEF4E6">
      <w:pPr>
        <w:rPr>
          <w:rFonts w:hint="eastAsia" w:ascii="楷体" w:hAnsi="楷体" w:eastAsia="楷体" w:cs="楷体"/>
          <w:b/>
          <w:bCs/>
          <w:sz w:val="28"/>
          <w:szCs w:val="28"/>
        </w:rPr>
      </w:pPr>
      <w:r>
        <w:rPr>
          <w:rFonts w:hint="eastAsia" w:ascii="楷体" w:hAnsi="楷体" w:eastAsia="楷体" w:cs="楷体"/>
          <w:b/>
          <w:bCs/>
          <w:sz w:val="28"/>
          <w:szCs w:val="28"/>
        </w:rPr>
        <w:t>【参考文献】</w:t>
      </w:r>
    </w:p>
    <w:p w14:paraId="1B4EF57C">
      <w:pPr>
        <w:rPr>
          <w:rFonts w:hint="eastAsia" w:ascii="楷体" w:hAnsi="楷体" w:eastAsia="楷体" w:cs="楷体"/>
          <w:sz w:val="24"/>
          <w:szCs w:val="24"/>
        </w:rPr>
      </w:pPr>
      <w:r>
        <w:rPr>
          <w:rFonts w:hint="eastAsia" w:ascii="楷体" w:hAnsi="楷体" w:eastAsia="楷体" w:cs="楷体"/>
          <w:sz w:val="24"/>
          <w:szCs w:val="24"/>
        </w:rPr>
        <w:t>1. Yundong He, et al. Targeting signaling pathways in prostate cancer: mechanisms and clinical trials. Signal Transduction and Targeted Therapy, 2022. https://doi.org/10.1038/s41392-022-01042-7</w:t>
      </w:r>
    </w:p>
    <w:p w14:paraId="2DD536AD">
      <w:pPr>
        <w:rPr>
          <w:rFonts w:hint="eastAsia" w:ascii="楷体" w:hAnsi="楷体" w:eastAsia="楷体" w:cs="楷体"/>
          <w:sz w:val="24"/>
          <w:szCs w:val="24"/>
        </w:rPr>
      </w:pPr>
    </w:p>
    <w:p w14:paraId="72C79376">
      <w:pPr>
        <w:rPr>
          <w:rFonts w:hint="eastAsia" w:ascii="楷体" w:hAnsi="楷体" w:eastAsia="楷体" w:cs="楷体"/>
          <w:sz w:val="24"/>
          <w:szCs w:val="24"/>
        </w:rPr>
      </w:pPr>
      <w:r>
        <w:rPr>
          <w:rFonts w:hint="eastAsia" w:ascii="楷体" w:hAnsi="楷体" w:eastAsia="楷体" w:cs="楷体"/>
          <w:sz w:val="24"/>
          <w:szCs w:val="24"/>
        </w:rPr>
        <w:t>2. Yapeng Chao, et al. Synthetic lethal combination of CHK1 and WEE1 inhibition for treatment of castration-resistant prostate cancer. Oncogene, 2024. https://doi.org/10.1038/s41388-024-02939-z</w:t>
      </w:r>
    </w:p>
    <w:p w14:paraId="6A6121AA">
      <w:pPr>
        <w:rPr>
          <w:rFonts w:hint="eastAsia" w:ascii="楷体" w:hAnsi="楷体" w:eastAsia="楷体" w:cs="楷体"/>
          <w:sz w:val="24"/>
          <w:szCs w:val="24"/>
        </w:rPr>
      </w:pPr>
    </w:p>
    <w:p w14:paraId="6978F1C8">
      <w:pPr>
        <w:rPr>
          <w:rFonts w:hint="eastAsia" w:ascii="楷体" w:hAnsi="楷体" w:eastAsia="楷体" w:cs="楷体"/>
          <w:sz w:val="24"/>
          <w:szCs w:val="24"/>
        </w:rPr>
      </w:pPr>
      <w:r>
        <w:rPr>
          <w:rFonts w:hint="eastAsia" w:ascii="楷体" w:hAnsi="楷体" w:eastAsia="楷体" w:cs="楷体"/>
          <w:sz w:val="24"/>
          <w:szCs w:val="24"/>
        </w:rPr>
        <w:t>3. Krkoška, et al. Inhibition of Chk1 stimulates cytotoxic action of platinum-based drugs and TRAIL combination in human prostate cancer cells. Biological Chemistry, 2024. https://doi.org/10.1515/hsz-2023-0111</w:t>
      </w:r>
    </w:p>
    <w:p w14:paraId="57DF0235">
      <w:pPr>
        <w:rPr>
          <w:rFonts w:hint="eastAsia" w:ascii="楷体" w:hAnsi="楷体" w:eastAsia="楷体" w:cs="楷体"/>
          <w:sz w:val="24"/>
          <w:szCs w:val="24"/>
        </w:rPr>
      </w:pPr>
    </w:p>
    <w:p w14:paraId="7D61BB62">
      <w:pPr>
        <w:rPr>
          <w:rFonts w:hint="eastAsia" w:ascii="楷体" w:hAnsi="楷体" w:eastAsia="楷体" w:cs="楷体"/>
          <w:sz w:val="24"/>
          <w:szCs w:val="24"/>
        </w:rPr>
      </w:pPr>
      <w:r>
        <w:rPr>
          <w:rFonts w:hint="eastAsia" w:ascii="楷体" w:hAnsi="楷体" w:eastAsia="楷体" w:cs="楷体"/>
          <w:sz w:val="24"/>
          <w:szCs w:val="24"/>
        </w:rPr>
        <w:t>4. Huy Q. Ta, et al. Checkpoint Kinase 2 Negatively Regulates Androgen Sensitivity and Prostate Cancer Cell Growth. Cancer Research, 2015. DOI: 10.1158/0008-5472.CAN-15-0224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1YTA5Y2Y5Y2I0NzU2ZDExMmM5ZWY5YTU1YWU0MjAifQ=="/>
  </w:docVars>
  <w:rsids>
    <w:rsidRoot w:val="1CB11F67"/>
    <w:rsid w:val="07267E44"/>
    <w:rsid w:val="0D773627"/>
    <w:rsid w:val="1CB11F67"/>
    <w:rsid w:val="6ABE6C7B"/>
    <w:rsid w:val="72C54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2348</Words>
  <Characters>3869</Characters>
  <Lines>0</Lines>
  <Paragraphs>0</Paragraphs>
  <TotalTime>33</TotalTime>
  <ScaleCrop>false</ScaleCrop>
  <LinksUpToDate>false</LinksUpToDate>
  <CharactersWithSpaces>3996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2024-10-28T10:06:00Z</dcterms:created>
  <dc:creator>忘了天空的颜色</dc:creator>
  <cp:lastModifiedBy>忘了天空的颜色</cp:lastModifiedBy>
  <dcterms:modified xsi:type="dcterms:W3CDTF">2024-10-29T01:06:56Z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3DD7AEDB3B0D4BCB89F7A082F9F217B0_11</vt:lpwstr>
  </property>
</Properties>
</file>