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OLE_LINK15"/>
      <w:bookmarkStart w:id="2" w:name="_Toc415818939"/>
      <w:bookmarkStart w:id="3" w:name="_Toc415143481"/>
      <w:bookmarkStart w:id="4" w:name="_Toc453597319"/>
      <w:bookmarkStart w:id="5" w:name="OLE_LINK13"/>
      <w:bookmarkStart w:id="6" w:name="_Toc481801204"/>
      <w:bookmarkStart w:id="7" w:name="_Toc418070112"/>
      <w:bookmarkStart w:id="8" w:name="OLE_LINK39"/>
      <w:bookmarkStart w:id="9" w:name="OLE_LINK24"/>
      <w:bookmarkStart w:id="10" w:name="_Toc438987549"/>
      <w:bookmarkStart w:id="11" w:name="_Toc517262917"/>
      <w:bookmarkStart w:id="12" w:name="_Toc415142861"/>
      <w:bookmarkStart w:id="13" w:name="OLE_LINK40"/>
      <w:r>
        <w:drawing>
          <wp:inline distT="0" distB="0" distL="114300" distR="114300">
            <wp:extent cx="2412365" cy="1097915"/>
            <wp:effectExtent l="0" t="0" r="6985" b="6985"/>
            <wp:docPr id="5" name="图片 5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logo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2365" cy="109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-770890</wp:posOffset>
            </wp:positionH>
            <wp:positionV relativeFrom="paragraph">
              <wp:posOffset>-1134110</wp:posOffset>
            </wp:positionV>
            <wp:extent cx="7702550" cy="10934700"/>
            <wp:effectExtent l="0" t="0" r="12700" b="0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</w:t>
                            </w:r>
                            <w:r>
                              <w:rPr>
                                <w:b/>
                                <w:szCs w:val="22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szCs w:val="22"/>
                              </w:rPr>
                              <w:instrText xml:space="preserve"> HYPERLINK "https://link.shangyexinzhi.com/url?mailto:market@qyresearch.com" </w:instrText>
                            </w:r>
                            <w:r>
                              <w:rPr>
                                <w:b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rFonts w:hint="default"/>
                                <w:b/>
                                <w:szCs w:val="22"/>
                              </w:rPr>
                              <w:t>market@qyresearch.com</w:t>
                            </w:r>
                            <w:r>
                              <w:rPr>
                                <w:rFonts w:hint="default"/>
                                <w:b/>
                                <w:szCs w:val="22"/>
                              </w:rPr>
                              <w:fldChar w:fldCharType="end"/>
                            </w:r>
                            <w:r>
                              <w:rPr>
                                <w:b/>
                                <w:szCs w:val="22"/>
                              </w:rPr>
                              <w:t>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</w:t>
                      </w:r>
                      <w:r>
                        <w:rPr>
                          <w:b/>
                          <w:szCs w:val="22"/>
                        </w:rPr>
                        <w:fldChar w:fldCharType="begin"/>
                      </w:r>
                      <w:r>
                        <w:rPr>
                          <w:b/>
                          <w:szCs w:val="22"/>
                        </w:rPr>
                        <w:instrText xml:space="preserve"> HYPERLINK "https://link.shangyexinzhi.com/url?mailto:market@qyresearch.com" </w:instrText>
                      </w:r>
                      <w:r>
                        <w:rPr>
                          <w:b/>
                          <w:szCs w:val="22"/>
                        </w:rPr>
                        <w:fldChar w:fldCharType="separate"/>
                      </w:r>
                      <w:r>
                        <w:rPr>
                          <w:rFonts w:hint="default"/>
                          <w:b/>
                          <w:szCs w:val="22"/>
                        </w:rPr>
                        <w:t>market@qyresearch.com</w:t>
                      </w:r>
                      <w:r>
                        <w:rPr>
                          <w:rFonts w:hint="default"/>
                          <w:b/>
                          <w:szCs w:val="22"/>
                        </w:rPr>
                        <w:fldChar w:fldCharType="end"/>
                      </w:r>
                      <w:r>
                        <w:rPr>
                          <w:b/>
                          <w:szCs w:val="22"/>
                        </w:rPr>
                        <w:t>|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石油技术培训服务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石油技术培训服务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石油技术培训服务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据QYResearch调研团队最新报告“全球石油技术培训服务市场报告2023-2029”显示，预计2029年全球石油技术培训服务市场规模将达到5.4亿美元，未来几年年复合增长率CAGR为3.7%。</w:t>
      </w:r>
    </w:p>
    <w:p>
      <w:pPr>
        <w:pStyle w:val="148"/>
        <w:rPr>
          <w:lang w:eastAsia="zh-CN"/>
        </w:rPr>
      </w:pPr>
      <w:r>
        <w:rPr>
          <w:lang w:eastAsia="zh-CN"/>
        </w:rPr>
        <w:t>石油技术培训服务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5.4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5713730" cy="2818765"/>
            <wp:effectExtent l="0" t="0" r="127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4286" cy="2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石油技术培训服务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石油技术培训服务</w:t>
      </w:r>
      <w:r>
        <w:rPr>
          <w:rFonts w:hint="eastAsia"/>
          <w:lang w:eastAsia="zh-CN"/>
        </w:rPr>
        <w:t>市场前十二强生产商排名及市场占有率（持续更新）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石油技术培训服务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</w:pPr>
      <w:r>
        <w:rPr>
          <w:rFonts w:hint="eastAsia"/>
          <w:lang w:eastAsia="zh-CN"/>
        </w:rPr>
        <w:t>全球范围内石油技术培训服务生产商主要包括RelyOn Nutec、Baker Hughes (GE Company)、IFP Training (IFP Group)、PetroSkills、OCS Group、Petrofac Limited、IHRDC、Intertek Group、Petromentor International Education (Beijing) Co. Ltd.、PetroEdge等。2022年，全球前五大厂商占有大约39.0%的市场份额。</w:t>
      </w:r>
    </w:p>
    <w:p>
      <w:pPr>
        <w:pStyle w:val="145"/>
      </w:pP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bookmarkStart w:id="14" w:name="_GoBack"/>
      <w:bookmarkEnd w:id="14"/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Cambria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Calibr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107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36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6B6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56F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mnz\Desktop\&#28201;&#24433;\&#35266;&#28857;&#25968;&#25454;&#22270;&#34920;&#27169;&#26495;-&#20840;&#29699;20230927%20&#23454;&#20064;&#21516;&#23398;9.27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企业排序!$F$2:$F$14</c:f>
              <c:strCache>
                <c:ptCount val="13"/>
                <c:pt idx="0">
                  <c:v>Petroknowledge</c:v>
                </c:pt>
                <c:pt idx="1">
                  <c:v>Hot Engineering</c:v>
                </c:pt>
                <c:pt idx="2">
                  <c:v>PETEX</c:v>
                </c:pt>
                <c:pt idx="3">
                  <c:v>PetroEdge</c:v>
                </c:pt>
                <c:pt idx="4">
                  <c:v>Petromentor International Education (Beijing) Co. Ltd.</c:v>
                </c:pt>
                <c:pt idx="5">
                  <c:v>Intertek Group</c:v>
                </c:pt>
                <c:pt idx="6">
                  <c:v>IHRDC</c:v>
                </c:pt>
                <c:pt idx="7">
                  <c:v>Petrofac Limited</c:v>
                </c:pt>
                <c:pt idx="8">
                  <c:v>OCS Group</c:v>
                </c:pt>
                <c:pt idx="9">
                  <c:v>PetroSkills</c:v>
                </c:pt>
                <c:pt idx="10">
                  <c:v>IFP Training (IFP Group)</c:v>
                </c:pt>
                <c:pt idx="11">
                  <c:v>Baker Hughes (GE Company)</c:v>
                </c:pt>
                <c:pt idx="12">
                  <c:v>RelyOn Nutec</c:v>
                </c:pt>
              </c:strCache>
            </c:strRef>
          </c:cat>
          <c:val>
            <c:numRef>
              <c:f>企业排序!$G$2:$G$14</c:f>
              <c:numCache>
                <c:formatCode>#,##0.00_ </c:formatCode>
                <c:ptCount val="13"/>
                <c:pt idx="0">
                  <c:v>2.89</c:v>
                </c:pt>
                <c:pt idx="1">
                  <c:v>3.26</c:v>
                </c:pt>
                <c:pt idx="2">
                  <c:v>4.84</c:v>
                </c:pt>
                <c:pt idx="3">
                  <c:v>5.64</c:v>
                </c:pt>
                <c:pt idx="4">
                  <c:v>5.83</c:v>
                </c:pt>
                <c:pt idx="5">
                  <c:v>9.26</c:v>
                </c:pt>
                <c:pt idx="6">
                  <c:v>11.39</c:v>
                </c:pt>
                <c:pt idx="7">
                  <c:v>19.55</c:v>
                </c:pt>
                <c:pt idx="8">
                  <c:v>20.06</c:v>
                </c:pt>
                <c:pt idx="9">
                  <c:v>24.89</c:v>
                </c:pt>
                <c:pt idx="10">
                  <c:v>28.41</c:v>
                </c:pt>
                <c:pt idx="11">
                  <c:v>31.51</c:v>
                </c:pt>
                <c:pt idx="12">
                  <c:v>50.26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97DD88-07AF-4509-A777-2CA538CB44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784</Words>
  <Characters>1054</Characters>
  <Lines>7</Lines>
  <Paragraphs>2</Paragraphs>
  <TotalTime>0</TotalTime>
  <ScaleCrop>false</ScaleCrop>
  <LinksUpToDate>false</LinksUpToDate>
  <CharactersWithSpaces>1069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2023-10-10T05:56:09Z</dcterms:modified>
  <cp:revision>788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26ECBE06EAA2464292FEA3A375A37E98_13</vt:lpwstr>
  </property>
</Properties>
</file>