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B949A93">
      <w:pPr>
        <w:spacing w:before="480" w:after="480" w:line="288" w:lineRule="auto"/>
        <w:ind w:left="0"/>
      </w:pPr>
      <w:r>
        <w:rPr>
          <w:rFonts w:ascii="Arial" w:hAnsi="Arial" w:eastAsia="等线" w:cs="Arial"/>
          <w:b/>
          <w:sz w:val="52"/>
        </w:rPr>
        <w:t>可视化在线设计工具图表功能：一维/二维数据适配，导出高清图表?</w:t>
      </w:r>
    </w:p>
    <w:p w14:paraId="0D52058C">
      <w:pPr>
        <w:spacing w:before="120" w:after="120" w:line="288" w:lineRule="auto"/>
        <w:ind w:left="0"/>
        <w:jc w:val="left"/>
        <w:rPr>
          <w:rFonts w:hint="eastAsia" w:ascii="Arial" w:hAnsi="Arial" w:eastAsia="等线" w:cs="Arial"/>
          <w:sz w:val="22"/>
          <w:lang w:eastAsia="zh-CN"/>
        </w:rPr>
      </w:pPr>
      <w:r>
        <w:rPr>
          <w:rFonts w:ascii="Arial" w:hAnsi="Arial" w:eastAsia="等线" w:cs="Arial"/>
          <w:sz w:val="22"/>
        </w:rPr>
        <w:t>市场部的小李上周做季度汇报PPT，把销售数据做成表格后被领导批评“不够直观”；运营小王想在公众号推文中插入用户增长图，用工具做出来的图表模糊不清，放大后满是锯齿；财务小张需要把收支数据做成饼图用于年度总结印刷，却发现工具不支持高清导出——数据可视化的核心就是做好图表，但想适配不同数据类型还能导出高清效果，真没那么容易。不过别担心，今天以乔拓云云图设计为例，带来保姆级图表制作指南，不管是一维的单品销量数据，还是二维的多季度对比数据，都能轻松搞定，还能导出高清图表用于各种场景。</w:t>
      </w:r>
    </w:p>
    <w:p w14:paraId="48A34832">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52720" cy="2953385"/>
            <wp:effectExtent l="0" t="0" r="5080" b="18415"/>
            <wp:docPr id="1" name="图片 1" descr="temp"/>
            <wp:cNvGraphicFramePr/>
            <a:graphic xmlns:a="http://schemas.openxmlformats.org/drawingml/2006/main">
              <a:graphicData uri="http://schemas.openxmlformats.org/drawingml/2006/picture">
                <pic:pic xmlns:pic="http://schemas.openxmlformats.org/drawingml/2006/picture">
                  <pic:nvPicPr>
                    <pic:cNvPr id="1" name="图片 1" descr="temp"/>
                    <pic:cNvPicPr/>
                  </pic:nvPicPr>
                  <pic:blipFill>
                    <a:blip r:embed="rId6"/>
                    <a:stretch>
                      <a:fillRect/>
                    </a:stretch>
                  </pic:blipFill>
                  <pic:spPr>
                    <a:xfrm>
                      <a:off x="0" y="0"/>
                      <a:ext cx="5252720" cy="2953385"/>
                    </a:xfrm>
                    <a:prstGeom prst="rect">
                      <a:avLst/>
                    </a:prstGeom>
                  </pic:spPr>
                </pic:pic>
              </a:graphicData>
            </a:graphic>
          </wp:inline>
        </w:drawing>
      </w:r>
    </w:p>
    <w:p w14:paraId="7A8C37ED">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70500" cy="2964815"/>
            <wp:effectExtent l="0" t="0" r="6350" b="6985"/>
            <wp:docPr id="2" name="图片 2" descr="temp"/>
            <wp:cNvGraphicFramePr/>
            <a:graphic xmlns:a="http://schemas.openxmlformats.org/drawingml/2006/main">
              <a:graphicData uri="http://schemas.openxmlformats.org/drawingml/2006/picture">
                <pic:pic xmlns:pic="http://schemas.openxmlformats.org/drawingml/2006/picture">
                  <pic:nvPicPr>
                    <pic:cNvPr id="2" name="图片 2" descr="temp"/>
                    <pic:cNvPicPr/>
                  </pic:nvPicPr>
                  <pic:blipFill>
                    <a:blip r:embed="rId7"/>
                    <a:stretch>
                      <a:fillRect/>
                    </a:stretch>
                  </pic:blipFill>
                  <pic:spPr>
                    <a:xfrm>
                      <a:off x="0" y="0"/>
                      <a:ext cx="5270500" cy="2964815"/>
                    </a:xfrm>
                    <a:prstGeom prst="rect">
                      <a:avLst/>
                    </a:prstGeom>
                  </pic:spPr>
                </pic:pic>
              </a:graphicData>
            </a:graphic>
          </wp:inline>
        </w:drawing>
      </w:r>
    </w:p>
    <w:p w14:paraId="600324E3">
      <w:pPr>
        <w:spacing w:before="120" w:after="120" w:line="288" w:lineRule="auto"/>
        <w:ind w:left="0"/>
        <w:jc w:val="left"/>
        <w:rPr>
          <w:rFonts w:hint="eastAsia" w:ascii="Arial" w:hAnsi="Arial" w:eastAsia="等线" w:cs="Arial"/>
          <w:sz w:val="22"/>
          <w:lang w:eastAsia="zh-CN"/>
        </w:rPr>
      </w:pPr>
    </w:p>
    <w:p w14:paraId="75BF2B0E">
      <w:pPr>
        <w:spacing w:before="120" w:after="120" w:line="288" w:lineRule="auto"/>
        <w:ind w:left="0"/>
        <w:jc w:val="left"/>
        <w:rPr>
          <w:rFonts w:ascii="Arial" w:hAnsi="Arial" w:eastAsia="等线" w:cs="Arial"/>
          <w:sz w:val="22"/>
        </w:rPr>
      </w:pPr>
    </w:p>
    <w:p w14:paraId="31E4D322">
      <w:pPr>
        <w:spacing w:before="320" w:after="120" w:line="288" w:lineRule="auto"/>
        <w:ind w:left="0"/>
        <w:jc w:val="left"/>
        <w:outlineLvl w:val="1"/>
      </w:pPr>
      <w:bookmarkStart w:id="0" w:name="heading_0"/>
      <w:r>
        <w:rPr>
          <w:rFonts w:ascii="Arial" w:hAnsi="Arial" w:eastAsia="等线" w:cs="Arial"/>
          <w:b/>
          <w:sz w:val="32"/>
        </w:rPr>
        <w:t>一、先理清：一维/二维数据的图表适配逻辑</w:t>
      </w:r>
      <w:bookmarkEnd w:id="0"/>
    </w:p>
    <w:p w14:paraId="0CC3415F">
      <w:pPr>
        <w:spacing w:before="120" w:after="120" w:line="288" w:lineRule="auto"/>
        <w:ind w:left="0"/>
        <w:jc w:val="left"/>
        <w:rPr>
          <w:rFonts w:hint="eastAsia" w:ascii="Arial" w:hAnsi="Arial" w:eastAsia="等线" w:cs="Arial"/>
          <w:sz w:val="22"/>
          <w:lang w:eastAsia="zh-CN"/>
        </w:rPr>
      </w:pPr>
      <w:r>
        <w:rPr>
          <w:rFonts w:ascii="Arial" w:hAnsi="Arial" w:eastAsia="等线" w:cs="Arial"/>
          <w:sz w:val="22"/>
        </w:rPr>
        <w:t>很多人做图表时不知道选哪种类型，其实关键看数据是“一维”还是“二维”，对应不同图表类型才能更直观，乔拓云的图表功能早就帮咱们梳理好了适配逻辑：</w:t>
      </w:r>
    </w:p>
    <w:p w14:paraId="0B8FE042">
      <w:pPr>
        <w:spacing w:before="120" w:after="120" w:line="288" w:lineRule="auto"/>
        <w:ind w:left="0"/>
        <w:jc w:val="left"/>
        <w:rPr>
          <w:rFonts w:hint="eastAsia" w:ascii="Arial" w:hAnsi="Arial" w:eastAsia="等线" w:cs="Arial"/>
          <w:sz w:val="22"/>
          <w:lang w:eastAsia="zh-CN"/>
        </w:rPr>
      </w:pPr>
      <w:r>
        <w:rPr>
          <w:rFonts w:hint="eastAsia" w:ascii="Arial" w:hAnsi="Arial" w:eastAsia="等线" w:cs="Arial"/>
          <w:sz w:val="22"/>
          <w:lang w:eastAsia="zh-CN"/>
        </w:rPr>
        <w:drawing>
          <wp:inline distT="0" distB="0" distL="114300" distR="114300">
            <wp:extent cx="5266055" cy="4610100"/>
            <wp:effectExtent l="0" t="0" r="10795" b="0"/>
            <wp:docPr id="3" name="图片 3" descr="temp"/>
            <wp:cNvGraphicFramePr/>
            <a:graphic xmlns:a="http://schemas.openxmlformats.org/drawingml/2006/main">
              <a:graphicData uri="http://schemas.openxmlformats.org/drawingml/2006/picture">
                <pic:pic xmlns:pic="http://schemas.openxmlformats.org/drawingml/2006/picture">
                  <pic:nvPicPr>
                    <pic:cNvPr id="3" name="图片 3" descr="temp"/>
                    <pic:cNvPicPr/>
                  </pic:nvPicPr>
                  <pic:blipFill>
                    <a:blip r:embed="rId8"/>
                    <a:stretch>
                      <a:fillRect/>
                    </a:stretch>
                  </pic:blipFill>
                  <pic:spPr>
                    <a:xfrm>
                      <a:off x="0" y="0"/>
                      <a:ext cx="5266055" cy="4610100"/>
                    </a:xfrm>
                    <a:prstGeom prst="rect">
                      <a:avLst/>
                    </a:prstGeom>
                  </pic:spPr>
                </pic:pic>
              </a:graphicData>
            </a:graphic>
          </wp:inline>
        </w:drawing>
      </w:r>
    </w:p>
    <w:p w14:paraId="6FFCF5DC">
      <w:pPr>
        <w:spacing w:before="120" w:after="120" w:line="288" w:lineRule="auto"/>
        <w:ind w:left="0"/>
        <w:jc w:val="left"/>
        <w:rPr>
          <w:rFonts w:ascii="Arial" w:hAnsi="Arial" w:eastAsia="等线" w:cs="Arial"/>
          <w:sz w:val="22"/>
        </w:rPr>
      </w:pPr>
    </w:p>
    <w:p w14:paraId="1626C80F">
      <w:pPr>
        <w:numPr>
          <w:ilvl w:val="0"/>
          <w:numId w:val="1"/>
        </w:numPr>
        <w:spacing w:before="120" w:after="120" w:line="288" w:lineRule="auto"/>
        <w:ind w:left="0"/>
        <w:jc w:val="left"/>
      </w:pPr>
      <w:r>
        <w:rPr>
          <w:rFonts w:ascii="Arial" w:hAnsi="Arial" w:eastAsia="等线" w:cs="Arial"/>
          <w:b/>
          <w:sz w:val="22"/>
        </w:rPr>
        <w:t>一维数据</w:t>
      </w:r>
      <w:r>
        <w:rPr>
          <w:rFonts w:ascii="Arial" w:hAnsi="Arial" w:eastAsia="等线" w:cs="Arial"/>
          <w:sz w:val="22"/>
        </w:rPr>
        <w:t>：只有“类别+数值”两组信息，比如“各单品月销量”“各部门人数”，适合用</w:t>
      </w:r>
      <w:r>
        <w:rPr>
          <w:rFonts w:ascii="Arial" w:hAnsi="Arial" w:eastAsia="等线" w:cs="Arial"/>
          <w:b/>
          <w:sz w:val="22"/>
        </w:rPr>
        <w:t>饼图、圆环图、柱状图</w:t>
      </w:r>
      <w:r>
        <w:rPr>
          <w:rFonts w:ascii="Arial" w:hAnsi="Arial" w:eastAsia="等线" w:cs="Arial"/>
          <w:sz w:val="22"/>
        </w:rPr>
        <w:t>，能清晰展示单一维度的占比或数值对比；</w:t>
      </w:r>
    </w:p>
    <w:p w14:paraId="65D3C92A">
      <w:pPr>
        <w:numPr>
          <w:ilvl w:val="0"/>
          <w:numId w:val="2"/>
        </w:numPr>
        <w:spacing w:before="120" w:after="120" w:line="288" w:lineRule="auto"/>
        <w:ind w:left="0"/>
        <w:jc w:val="left"/>
      </w:pPr>
      <w:r>
        <w:rPr>
          <w:rFonts w:ascii="Arial" w:hAnsi="Arial" w:eastAsia="等线" w:cs="Arial"/>
          <w:b/>
          <w:sz w:val="22"/>
        </w:rPr>
        <w:t>二维数据</w:t>
      </w:r>
      <w:r>
        <w:rPr>
          <w:rFonts w:ascii="Arial" w:hAnsi="Arial" w:eastAsia="等线" w:cs="Arial"/>
          <w:sz w:val="22"/>
        </w:rPr>
        <w:t>：包含“类别+时间+数值”或“多类别+多数值”等三组及以上信息，比如“近半年各单品销量对比”“各部门季度绩效数据”，适合用</w:t>
      </w:r>
      <w:r>
        <w:rPr>
          <w:rFonts w:ascii="Arial" w:hAnsi="Arial" w:eastAsia="等线" w:cs="Arial"/>
          <w:b/>
          <w:sz w:val="22"/>
        </w:rPr>
        <w:t>折线图、组合图、多柱状图</w:t>
      </w:r>
      <w:r>
        <w:rPr>
          <w:rFonts w:ascii="Arial" w:hAnsi="Arial" w:eastAsia="等线" w:cs="Arial"/>
          <w:sz w:val="22"/>
        </w:rPr>
        <w:t>，能体现数据的变化趋势或多维度对比。</w:t>
      </w:r>
    </w:p>
    <w:tbl>
      <w:tblPr>
        <w:tblStyle w:val="2"/>
        <w:tblW w:w="0" w:type="auto"/>
        <w:tblInd w:w="0" w:type="dxa"/>
        <w:tblBorders>
          <w:top w:val="single" w:color="FED4A4" w:sz="0" w:space="0"/>
          <w:left w:val="single" w:color="FED4A4" w:sz="0" w:space="0"/>
          <w:bottom w:val="single" w:color="FED4A4" w:sz="0" w:space="0"/>
          <w:right w:val="single" w:color="FED4A4" w:sz="0" w:space="0"/>
          <w:insideH w:val="single" w:color="FED4A4" w:sz="0" w:space="0"/>
          <w:insideV w:val="single" w:color="FED4A4" w:sz="0" w:space="0"/>
        </w:tblBorders>
        <w:tblLayout w:type="fixed"/>
        <w:tblCellMar>
          <w:top w:w="0" w:type="dxa"/>
          <w:left w:w="10" w:type="dxa"/>
          <w:bottom w:w="0" w:type="dxa"/>
          <w:right w:w="10" w:type="dxa"/>
        </w:tblCellMar>
      </w:tblPr>
      <w:tblGrid>
        <w:gridCol w:w="8280"/>
      </w:tblGrid>
      <w:tr w14:paraId="02274F8A">
        <w:tblPrEx>
          <w:tblBorders>
            <w:top w:val="single" w:color="FED4A4" w:sz="0" w:space="0"/>
            <w:left w:val="single" w:color="FED4A4" w:sz="0" w:space="0"/>
            <w:bottom w:val="single" w:color="FED4A4" w:sz="0" w:space="0"/>
            <w:right w:val="single" w:color="FED4A4" w:sz="0" w:space="0"/>
            <w:insideH w:val="single" w:color="FED4A4" w:sz="0" w:space="0"/>
            <w:insideV w:val="single" w:color="FED4A4" w:sz="0" w:space="0"/>
          </w:tblBorders>
          <w:tblCellMar>
            <w:top w:w="0" w:type="dxa"/>
            <w:left w:w="10" w:type="dxa"/>
            <w:bottom w:w="0" w:type="dxa"/>
            <w:right w:w="10" w:type="dxa"/>
          </w:tblCellMar>
        </w:tblPrEx>
        <w:tc>
          <w:tcPr>
            <w:tcW w:w="8280" w:type="dxa"/>
            <w:shd w:val="clear" w:color="auto" w:fill="FFF5EB"/>
            <w:tcMar>
              <w:top w:w="60" w:type="dxa"/>
              <w:left w:w="120" w:type="dxa"/>
              <w:bottom w:w="30" w:type="dxa"/>
              <w:right w:w="120" w:type="dxa"/>
            </w:tcMar>
          </w:tcPr>
          <w:p w14:paraId="108A915E">
            <w:pPr>
              <w:spacing w:before="120" w:after="120" w:line="288" w:lineRule="auto"/>
              <w:ind w:left="0"/>
              <w:jc w:val="left"/>
            </w:pPr>
            <w:r>
              <w:rPr>
                <w:rFonts w:ascii="Arial" w:hAnsi="Arial" w:eastAsia="等线" w:cs="Arial"/>
                <w:sz w:val="22"/>
              </w:rPr>
              <w:t>提示：乔拓云云图设计的图表功能会根据导入的数据类型智能推荐适配图表，新手哪怕不懂适配逻辑，跟着推荐选也不会出错。</w:t>
            </w:r>
          </w:p>
        </w:tc>
      </w:tr>
    </w:tbl>
    <w:p w14:paraId="22139785">
      <w:pPr>
        <w:spacing w:before="320" w:after="120" w:line="288" w:lineRule="auto"/>
        <w:ind w:left="0"/>
        <w:jc w:val="left"/>
        <w:outlineLvl w:val="1"/>
      </w:pPr>
      <w:bookmarkStart w:id="1" w:name="heading_1"/>
      <w:r>
        <w:rPr>
          <w:rFonts w:ascii="Arial" w:hAnsi="Arial" w:eastAsia="等线" w:cs="Arial"/>
          <w:b/>
          <w:sz w:val="32"/>
        </w:rPr>
        <w:t>二、保姆级操作：乔拓云图表功能的精准用法</w:t>
      </w:r>
      <w:bookmarkEnd w:id="1"/>
    </w:p>
    <w:p w14:paraId="212F8923">
      <w:pPr>
        <w:spacing w:before="120" w:after="120" w:line="288" w:lineRule="auto"/>
        <w:ind w:left="0"/>
        <w:jc w:val="left"/>
      </w:pPr>
      <w:r>
        <w:rPr>
          <w:rFonts w:ascii="Arial" w:hAnsi="Arial" w:eastAsia="等线" w:cs="Arial"/>
          <w:sz w:val="22"/>
        </w:rPr>
        <w:t>以乔拓云云图设计制作“电商店铺季度运营报告图表”为例，分别演示一维和二维数据的图表制作，最后讲高清导出技巧，全程手把手教学：</w:t>
      </w:r>
    </w:p>
    <w:p w14:paraId="7241CC3F">
      <w:pPr>
        <w:spacing w:before="300" w:after="120" w:line="288" w:lineRule="auto"/>
        <w:ind w:left="0"/>
        <w:jc w:val="left"/>
        <w:outlineLvl w:val="2"/>
      </w:pPr>
      <w:bookmarkStart w:id="2" w:name="heading_2"/>
      <w:r>
        <w:rPr>
          <w:rFonts w:ascii="Arial" w:hAnsi="Arial" w:eastAsia="等线" w:cs="Arial"/>
          <w:b/>
          <w:sz w:val="30"/>
        </w:rPr>
        <w:t>第一步：新建作品，调出图表功能</w:t>
      </w:r>
      <w:bookmarkEnd w:id="2"/>
    </w:p>
    <w:p w14:paraId="37CED509">
      <w:pPr>
        <w:spacing w:before="120" w:after="120" w:line="288" w:lineRule="auto"/>
        <w:ind w:left="0"/>
        <w:jc w:val="left"/>
      </w:pPr>
      <w:r>
        <w:rPr>
          <w:rFonts w:ascii="Arial" w:hAnsi="Arial" w:eastAsia="等线" w:cs="Arial"/>
          <w:sz w:val="22"/>
        </w:rPr>
        <w:t>不管是做汇报PPT配图还是推文图表，先选对尺寸再调功能，效率更高：</w:t>
      </w:r>
    </w:p>
    <w:p w14:paraId="07F7FA1D">
      <w:pPr>
        <w:numPr>
          <w:ilvl w:val="0"/>
          <w:numId w:val="3"/>
        </w:numPr>
        <w:spacing w:before="120" w:after="120" w:line="288" w:lineRule="auto"/>
        <w:ind w:left="0"/>
        <w:jc w:val="left"/>
      </w:pPr>
      <w:r>
        <w:rPr>
          <w:rFonts w:ascii="Arial" w:hAnsi="Arial" w:eastAsia="等线" w:cs="Arial"/>
          <w:sz w:val="22"/>
        </w:rPr>
        <w:t>登录乔拓云账号，点击首页</w:t>
      </w:r>
      <w:r>
        <w:rPr>
          <w:rFonts w:ascii="Arial" w:hAnsi="Arial" w:eastAsia="等线" w:cs="Arial"/>
          <w:b/>
          <w:sz w:val="22"/>
        </w:rPr>
        <w:t>“新建作品”</w:t>
      </w:r>
      <w:r>
        <w:rPr>
          <w:rFonts w:ascii="Arial" w:hAnsi="Arial" w:eastAsia="等线" w:cs="Arial"/>
          <w:sz w:val="22"/>
        </w:rPr>
        <w:t>，根据场景选择尺寸（汇报用选“PPT页面”，推文用选“公众号封面图”，乔拓云有预设尺寸，直接选不用自己算）；</w:t>
      </w:r>
    </w:p>
    <w:p w14:paraId="49BD444C">
      <w:pPr>
        <w:numPr>
          <w:ilvl w:val="0"/>
          <w:numId w:val="4"/>
        </w:numPr>
        <w:spacing w:before="120" w:after="120" w:line="288" w:lineRule="auto"/>
        <w:ind w:left="0"/>
        <w:jc w:val="left"/>
      </w:pPr>
      <w:r>
        <w:rPr>
          <w:rFonts w:ascii="Arial" w:hAnsi="Arial" w:eastAsia="等线" w:cs="Arial"/>
          <w:sz w:val="22"/>
        </w:rPr>
        <w:t>进入设计界面后，点击左侧工具栏的</w:t>
      </w:r>
      <w:r>
        <w:rPr>
          <w:rFonts w:ascii="Arial" w:hAnsi="Arial" w:eastAsia="等线" w:cs="Arial"/>
          <w:b/>
          <w:sz w:val="22"/>
        </w:rPr>
        <w:t>“图表”</w:t>
      </w:r>
      <w:r>
        <w:rPr>
          <w:rFonts w:ascii="Arial" w:hAnsi="Arial" w:eastAsia="等线" w:cs="Arial"/>
          <w:sz w:val="22"/>
        </w:rPr>
        <w:t>按钮，弹出图表类型面板，包含饼图、柱状图、折线图等12种常用类型，按需选择；</w:t>
      </w:r>
    </w:p>
    <w:p w14:paraId="1FED1585">
      <w:pPr>
        <w:numPr>
          <w:ilvl w:val="0"/>
          <w:numId w:val="4"/>
        </w:numPr>
        <w:spacing w:before="120" w:after="120" w:line="288" w:lineRule="auto"/>
        <w:ind w:left="0"/>
        <w:jc w:val="left"/>
      </w:pPr>
      <w:r>
        <w:drawing>
          <wp:inline distT="0" distB="0" distL="114300" distR="114300">
            <wp:extent cx="5260340" cy="2821940"/>
            <wp:effectExtent l="0" t="0" r="16510" b="16510"/>
            <wp:docPr id="4" name="图片 4" descr="temp"/>
            <wp:cNvGraphicFramePr/>
            <a:graphic xmlns:a="http://schemas.openxmlformats.org/drawingml/2006/main">
              <a:graphicData uri="http://schemas.openxmlformats.org/drawingml/2006/picture">
                <pic:pic xmlns:pic="http://schemas.openxmlformats.org/drawingml/2006/picture">
                  <pic:nvPicPr>
                    <pic:cNvPr id="4" name="图片 4" descr="temp"/>
                    <pic:cNvPicPr/>
                  </pic:nvPicPr>
                  <pic:blipFill>
                    <a:blip r:embed="rId9"/>
                    <a:stretch>
                      <a:fillRect/>
                    </a:stretch>
                  </pic:blipFill>
                  <pic:spPr>
                    <a:xfrm>
                      <a:off x="0" y="0"/>
                      <a:ext cx="5260340" cy="2821940"/>
                    </a:xfrm>
                    <a:prstGeom prst="rect">
                      <a:avLst/>
                    </a:prstGeom>
                  </pic:spPr>
                </pic:pic>
              </a:graphicData>
            </a:graphic>
          </wp:inline>
        </w:drawing>
      </w:r>
      <w:bookmarkStart w:id="9" w:name="_GoBack"/>
      <w:bookmarkEnd w:id="9"/>
    </w:p>
    <w:p w14:paraId="697A17C1">
      <w:pPr>
        <w:numPr>
          <w:ilvl w:val="0"/>
          <w:numId w:val="4"/>
        </w:numPr>
        <w:spacing w:before="120" w:after="120" w:line="288" w:lineRule="auto"/>
        <w:ind w:left="0"/>
        <w:jc w:val="left"/>
      </w:pPr>
    </w:p>
    <w:p w14:paraId="6AC04ABB">
      <w:pPr>
        <w:numPr>
          <w:ilvl w:val="0"/>
          <w:numId w:val="5"/>
        </w:numPr>
        <w:spacing w:before="120" w:after="120" w:line="288" w:lineRule="auto"/>
        <w:ind w:left="0"/>
        <w:jc w:val="left"/>
      </w:pPr>
      <w:r>
        <w:rPr>
          <w:rFonts w:ascii="Arial" w:hAnsi="Arial" w:eastAsia="等线" w:cs="Arial"/>
          <w:sz w:val="22"/>
        </w:rPr>
        <w:t>点击选中的图表类型，图表会自动插入画布，后续只需替换数据即可。</w:t>
      </w:r>
    </w:p>
    <w:p w14:paraId="475D4DE8">
      <w:pPr>
        <w:spacing w:before="120" w:after="120" w:line="288" w:lineRule="auto"/>
        <w:ind w:left="0"/>
        <w:jc w:val="left"/>
      </w:pPr>
      <w:r>
        <w:rPr>
          <w:rFonts w:ascii="Arial" w:hAnsi="Arial" w:eastAsia="等线" w:cs="Arial"/>
          <w:sz w:val="22"/>
        </w:rPr>
        <w:t>这里必须夸下乔拓云的</w:t>
      </w:r>
      <w:r>
        <w:rPr>
          <w:rFonts w:ascii="Arial" w:hAnsi="Arial" w:eastAsia="等线" w:cs="Arial"/>
          <w:b/>
          <w:sz w:val="22"/>
        </w:rPr>
        <w:t>模板优势</w:t>
      </w:r>
      <w:r>
        <w:rPr>
          <w:rFonts w:ascii="Arial" w:hAnsi="Arial" w:eastAsia="等线" w:cs="Arial"/>
          <w:sz w:val="22"/>
        </w:rPr>
        <w:t>，如果不想从零开始，直接在模板库搜索“数据图表”，能找到数十万预设图表的模板，不管是运营报告还是销售总结，都有对应的模板可用。模板里的图表已经做好配色和样式，直接替换成自己的数据，5分钟就能搞定专业图表，新手也能快速出效果。而且这些模板都是可商用授权的，不用担心版权问题。</w:t>
      </w:r>
    </w:p>
    <w:p w14:paraId="3FA61630">
      <w:pPr>
        <w:spacing w:before="300" w:after="120" w:line="288" w:lineRule="auto"/>
        <w:ind w:left="0"/>
        <w:jc w:val="left"/>
        <w:outlineLvl w:val="2"/>
      </w:pPr>
      <w:bookmarkStart w:id="3" w:name="heading_3"/>
      <w:r>
        <w:rPr>
          <w:rFonts w:ascii="Arial" w:hAnsi="Arial" w:eastAsia="等线" w:cs="Arial"/>
          <w:b/>
          <w:sz w:val="30"/>
        </w:rPr>
        <w:t>第二步：适配数据类型，制作精准图表</w:t>
      </w:r>
      <w:bookmarkEnd w:id="3"/>
    </w:p>
    <w:p w14:paraId="320FE595">
      <w:pPr>
        <w:spacing w:before="120" w:after="120" w:line="288" w:lineRule="auto"/>
        <w:ind w:left="0"/>
        <w:jc w:val="left"/>
      </w:pPr>
      <w:r>
        <w:rPr>
          <w:rFonts w:ascii="Arial" w:hAnsi="Arial" w:eastAsia="等线" w:cs="Arial"/>
          <w:sz w:val="22"/>
        </w:rPr>
        <w:t>根据数据是一维还是二维，用乔拓云的不同功能适配，操作都很简单，具体如下：</w:t>
      </w:r>
    </w:p>
    <w:p w14:paraId="494B6093">
      <w:pPr>
        <w:spacing w:before="260" w:after="120" w:line="288" w:lineRule="auto"/>
        <w:ind w:left="0"/>
        <w:jc w:val="left"/>
        <w:outlineLvl w:val="3"/>
      </w:pPr>
      <w:bookmarkStart w:id="4" w:name="heading_4"/>
      <w:r>
        <w:rPr>
          <w:rFonts w:ascii="Arial" w:hAnsi="Arial" w:eastAsia="等线" w:cs="Arial"/>
          <w:b/>
          <w:sz w:val="28"/>
        </w:rPr>
        <w:t>场景1：一维数据（如“Q3各单品销量”）制作饼图</w:t>
      </w:r>
      <w:bookmarkEnd w:id="4"/>
    </w:p>
    <w:p w14:paraId="5EFBDFA9">
      <w:pPr>
        <w:numPr>
          <w:ilvl w:val="0"/>
          <w:numId w:val="6"/>
        </w:numPr>
        <w:spacing w:before="120" w:after="120" w:line="288" w:lineRule="auto"/>
        <w:ind w:left="0"/>
        <w:jc w:val="left"/>
      </w:pPr>
      <w:r>
        <w:rPr>
          <w:rFonts w:ascii="Arial" w:hAnsi="Arial" w:eastAsia="等线" w:cs="Arial"/>
          <w:sz w:val="22"/>
        </w:rPr>
        <w:t>在图表类型面板选择</w:t>
      </w:r>
      <w:r>
        <w:rPr>
          <w:rFonts w:ascii="Arial" w:hAnsi="Arial" w:eastAsia="等线" w:cs="Arial"/>
          <w:b/>
          <w:sz w:val="22"/>
        </w:rPr>
        <w:t>“饼图”</w:t>
      </w:r>
      <w:r>
        <w:rPr>
          <w:rFonts w:ascii="Arial" w:hAnsi="Arial" w:eastAsia="等线" w:cs="Arial"/>
          <w:sz w:val="22"/>
        </w:rPr>
        <w:t>，插入画布后双击图表，弹出</w:t>
      </w:r>
      <w:r>
        <w:rPr>
          <w:rFonts w:ascii="Arial" w:hAnsi="Arial" w:eastAsia="等线" w:cs="Arial"/>
          <w:b/>
          <w:sz w:val="22"/>
        </w:rPr>
        <w:t>“数据编辑”</w:t>
      </w:r>
      <w:r>
        <w:rPr>
          <w:rFonts w:ascii="Arial" w:hAnsi="Arial" w:eastAsia="等线" w:cs="Arial"/>
          <w:sz w:val="22"/>
        </w:rPr>
        <w:t>面板；</w:t>
      </w:r>
    </w:p>
    <w:p w14:paraId="29D0F6BC">
      <w:pPr>
        <w:numPr>
          <w:ilvl w:val="0"/>
          <w:numId w:val="7"/>
        </w:numPr>
        <w:spacing w:before="120" w:after="120" w:line="288" w:lineRule="auto"/>
        <w:ind w:left="0"/>
        <w:jc w:val="left"/>
      </w:pPr>
      <w:r>
        <w:rPr>
          <w:rFonts w:ascii="Arial" w:hAnsi="Arial" w:eastAsia="等线" w:cs="Arial"/>
          <w:sz w:val="22"/>
        </w:rPr>
        <w:t>替换数据：删除默认数据，输入一维数据，比如“类别”列输入各单品名称（卫衣、T恤、牛仔裤），“数值”列输入对应销量（1200、1800、900），输入时实时预览图表变化；</w:t>
      </w:r>
    </w:p>
    <w:p w14:paraId="25D8BB57">
      <w:pPr>
        <w:numPr>
          <w:ilvl w:val="0"/>
          <w:numId w:val="8"/>
        </w:numPr>
        <w:spacing w:before="120" w:after="120" w:line="288" w:lineRule="auto"/>
        <w:ind w:left="0"/>
        <w:jc w:val="left"/>
      </w:pPr>
      <w:r>
        <w:rPr>
          <w:rFonts w:ascii="Arial" w:hAnsi="Arial" w:eastAsia="等线" w:cs="Arial"/>
          <w:sz w:val="22"/>
        </w:rPr>
        <w:t>优化样式：点击图表右侧的</w:t>
      </w:r>
      <w:r>
        <w:rPr>
          <w:rFonts w:ascii="Arial" w:hAnsi="Arial" w:eastAsia="等线" w:cs="Arial"/>
          <w:b/>
          <w:sz w:val="22"/>
        </w:rPr>
        <w:t>“样式”</w:t>
      </w:r>
      <w:r>
        <w:rPr>
          <w:rFonts w:ascii="Arial" w:hAnsi="Arial" w:eastAsia="等线" w:cs="Arial"/>
          <w:sz w:val="22"/>
        </w:rPr>
        <w:t>按钮，可修改饼图颜色（支持吸取品牌色）、添加数据标签（显示销量和占比），让图表更清晰；</w:t>
      </w:r>
    </w:p>
    <w:p w14:paraId="64A81F76">
      <w:pPr>
        <w:numPr>
          <w:ilvl w:val="0"/>
          <w:numId w:val="9"/>
        </w:numPr>
        <w:spacing w:before="120" w:after="120" w:line="288" w:lineRule="auto"/>
        <w:ind w:left="0"/>
        <w:jc w:val="left"/>
      </w:pPr>
      <w:r>
        <w:rPr>
          <w:rFonts w:ascii="Arial" w:hAnsi="Arial" w:eastAsia="等线" w:cs="Arial"/>
          <w:sz w:val="22"/>
        </w:rPr>
        <w:t>完成后，一维数据的占比关系就通过饼图直观呈现，比表格更有说服力。</w:t>
      </w:r>
    </w:p>
    <w:p w14:paraId="048F5DDF">
      <w:pPr>
        <w:spacing w:before="260" w:after="120" w:line="288" w:lineRule="auto"/>
        <w:ind w:left="0"/>
        <w:jc w:val="left"/>
        <w:outlineLvl w:val="3"/>
      </w:pPr>
      <w:bookmarkStart w:id="5" w:name="heading_5"/>
      <w:r>
        <w:rPr>
          <w:rFonts w:ascii="Arial" w:hAnsi="Arial" w:eastAsia="等线" w:cs="Arial"/>
          <w:b/>
          <w:sz w:val="28"/>
        </w:rPr>
        <w:t>场景2：二维数据（如“近三季度各单品销量”）制作折线图</w:t>
      </w:r>
      <w:bookmarkEnd w:id="5"/>
    </w:p>
    <w:p w14:paraId="0D922456">
      <w:pPr>
        <w:numPr>
          <w:ilvl w:val="0"/>
          <w:numId w:val="10"/>
        </w:numPr>
        <w:spacing w:before="120" w:after="120" w:line="288" w:lineRule="auto"/>
        <w:ind w:left="0"/>
        <w:jc w:val="left"/>
      </w:pPr>
      <w:r>
        <w:rPr>
          <w:rFonts w:ascii="Arial" w:hAnsi="Arial" w:eastAsia="等线" w:cs="Arial"/>
          <w:sz w:val="22"/>
        </w:rPr>
        <w:t>选择</w:t>
      </w:r>
      <w:r>
        <w:rPr>
          <w:rFonts w:ascii="Arial" w:hAnsi="Arial" w:eastAsia="等线" w:cs="Arial"/>
          <w:b/>
          <w:sz w:val="22"/>
        </w:rPr>
        <w:t>“折线图”</w:t>
      </w:r>
      <w:r>
        <w:rPr>
          <w:rFonts w:ascii="Arial" w:hAnsi="Arial" w:eastAsia="等线" w:cs="Arial"/>
          <w:sz w:val="22"/>
        </w:rPr>
        <w:t>插入画布，双击打开数据编辑面板；</w:t>
      </w:r>
    </w:p>
    <w:p w14:paraId="56850EFA">
      <w:pPr>
        <w:numPr>
          <w:ilvl w:val="0"/>
          <w:numId w:val="11"/>
        </w:numPr>
        <w:spacing w:before="120" w:after="120" w:line="288" w:lineRule="auto"/>
        <w:ind w:left="0"/>
        <w:jc w:val="left"/>
      </w:pPr>
      <w:r>
        <w:rPr>
          <w:rFonts w:ascii="Arial" w:hAnsi="Arial" w:eastAsia="等线" w:cs="Arial"/>
          <w:sz w:val="22"/>
        </w:rPr>
        <w:t>输入二维数据：“X轴”列输入时间（Q1、Q2、Q3），“系列1-3”分别输入卫衣、T恤、牛仔裤的季度销量，系统会自动生成三条不同颜色的折线；</w:t>
      </w:r>
    </w:p>
    <w:p w14:paraId="7FC6EC13">
      <w:pPr>
        <w:numPr>
          <w:ilvl w:val="0"/>
          <w:numId w:val="12"/>
        </w:numPr>
        <w:spacing w:before="120" w:after="120" w:line="288" w:lineRule="auto"/>
        <w:ind w:left="0"/>
        <w:jc w:val="left"/>
      </w:pPr>
      <w:r>
        <w:rPr>
          <w:rFonts w:ascii="Arial" w:hAnsi="Arial" w:eastAsia="等线" w:cs="Arial"/>
          <w:sz w:val="22"/>
        </w:rPr>
        <w:t>精准调整：在数据面板可添加“平均值线”“趋势线”，清晰展示数据变化规律；样式面板可修改折线粗细、标记点形状，让图表更美观；</w:t>
      </w:r>
    </w:p>
    <w:p w14:paraId="74AC07B4">
      <w:pPr>
        <w:numPr>
          <w:ilvl w:val="0"/>
          <w:numId w:val="13"/>
        </w:numPr>
        <w:spacing w:before="120" w:after="120" w:line="288" w:lineRule="auto"/>
        <w:ind w:left="0"/>
        <w:jc w:val="left"/>
      </w:pPr>
      <w:r>
        <w:rPr>
          <w:rFonts w:ascii="Arial" w:hAnsi="Arial" w:eastAsia="等线" w:cs="Arial"/>
          <w:sz w:val="22"/>
        </w:rPr>
        <w:t>若想同时展示数值和占比，可切换为</w:t>
      </w:r>
      <w:r>
        <w:rPr>
          <w:rFonts w:ascii="Arial" w:hAnsi="Arial" w:eastAsia="等线" w:cs="Arial"/>
          <w:b/>
          <w:sz w:val="22"/>
        </w:rPr>
        <w:t>“组合图”</w:t>
      </w:r>
      <w:r>
        <w:rPr>
          <w:rFonts w:ascii="Arial" w:hAnsi="Arial" w:eastAsia="等线" w:cs="Arial"/>
          <w:sz w:val="22"/>
        </w:rPr>
        <w:t>（柱状图+折线图），乔拓云支持多种图表类型组合，满足复杂数据展示需求。</w:t>
      </w:r>
    </w:p>
    <w:p w14:paraId="3BC27B22">
      <w:pPr>
        <w:spacing w:before="300" w:after="120" w:line="288" w:lineRule="auto"/>
        <w:ind w:left="0"/>
        <w:jc w:val="left"/>
        <w:outlineLvl w:val="2"/>
      </w:pPr>
      <w:bookmarkStart w:id="6" w:name="heading_6"/>
      <w:r>
        <w:rPr>
          <w:rFonts w:ascii="Arial" w:hAnsi="Arial" w:eastAsia="等线" w:cs="Arial"/>
          <w:b/>
          <w:sz w:val="30"/>
        </w:rPr>
        <w:t>第三步：导出高清图表，适配多场景需求</w:t>
      </w:r>
      <w:bookmarkEnd w:id="6"/>
    </w:p>
    <w:p w14:paraId="13E7ADA5">
      <w:pPr>
        <w:spacing w:before="120" w:after="120" w:line="288" w:lineRule="auto"/>
        <w:ind w:left="0"/>
        <w:jc w:val="left"/>
      </w:pPr>
      <w:r>
        <w:rPr>
          <w:rFonts w:ascii="Arial" w:hAnsi="Arial" w:eastAsia="等线" w:cs="Arial"/>
          <w:sz w:val="22"/>
        </w:rPr>
        <w:t>图表制作完成后，导出环节决定了最终呈现效果，乔拓云支持多格式高清导出，适配汇报、印刷、推文等不同场景：</w:t>
      </w:r>
    </w:p>
    <w:p w14:paraId="0ABDAD0F">
      <w:pPr>
        <w:numPr>
          <w:ilvl w:val="0"/>
          <w:numId w:val="14"/>
        </w:numPr>
        <w:spacing w:before="120" w:after="120" w:line="288" w:lineRule="auto"/>
        <w:ind w:left="0"/>
        <w:jc w:val="left"/>
      </w:pPr>
      <w:r>
        <w:rPr>
          <w:rFonts w:ascii="Arial" w:hAnsi="Arial" w:eastAsia="等线" w:cs="Arial"/>
          <w:sz w:val="22"/>
        </w:rPr>
        <w:t>选中图表（或全选作品），点击右上角</w:t>
      </w:r>
      <w:r>
        <w:rPr>
          <w:rFonts w:ascii="Arial" w:hAnsi="Arial" w:eastAsia="等线" w:cs="Arial"/>
          <w:b/>
          <w:sz w:val="22"/>
        </w:rPr>
        <w:t>“导出”</w:t>
      </w:r>
      <w:r>
        <w:rPr>
          <w:rFonts w:ascii="Arial" w:hAnsi="Arial" w:eastAsia="等线" w:cs="Arial"/>
          <w:sz w:val="22"/>
        </w:rPr>
        <w:t>按钮，弹出导出面板；</w:t>
      </w:r>
    </w:p>
    <w:p w14:paraId="6917110B">
      <w:pPr>
        <w:numPr>
          <w:ilvl w:val="0"/>
          <w:numId w:val="15"/>
        </w:numPr>
        <w:spacing w:before="120" w:after="120" w:line="288" w:lineRule="auto"/>
        <w:ind w:left="0"/>
        <w:jc w:val="left"/>
      </w:pPr>
      <w:r>
        <w:rPr>
          <w:rFonts w:ascii="Arial" w:hAnsi="Arial" w:eastAsia="等线" w:cs="Arial"/>
          <w:sz w:val="22"/>
        </w:rPr>
        <w:t>根据场景选择格式：用于PPT汇报或推文，选</w:t>
      </w:r>
      <w:r>
        <w:rPr>
          <w:rFonts w:ascii="Arial" w:hAnsi="Arial" w:eastAsia="等线" w:cs="Arial"/>
          <w:b/>
          <w:sz w:val="22"/>
        </w:rPr>
        <w:t>“PNG格式”</w:t>
      </w:r>
      <w:r>
        <w:rPr>
          <w:rFonts w:ascii="Arial" w:hAnsi="Arial" w:eastAsia="等线" w:cs="Arial"/>
          <w:sz w:val="22"/>
        </w:rPr>
        <w:t>并勾选“高清”选项，导出后图片清晰无锯齿，放大后也不模糊；用于印刷总结册，选</w:t>
      </w:r>
      <w:r>
        <w:rPr>
          <w:rFonts w:ascii="Arial" w:hAnsi="Arial" w:eastAsia="等线" w:cs="Arial"/>
          <w:b/>
          <w:sz w:val="22"/>
        </w:rPr>
        <w:t>“PDF格式”</w:t>
      </w:r>
      <w:r>
        <w:rPr>
          <w:rFonts w:ascii="Arial" w:hAnsi="Arial" w:eastAsia="等线" w:cs="Arial"/>
          <w:sz w:val="22"/>
        </w:rPr>
        <w:t>，分辨率达300dpi，符合印刷标准；</w:t>
      </w:r>
    </w:p>
    <w:p w14:paraId="7AF0B7F9">
      <w:pPr>
        <w:numPr>
          <w:ilvl w:val="0"/>
          <w:numId w:val="16"/>
        </w:numPr>
        <w:spacing w:before="120" w:after="120" w:line="288" w:lineRule="auto"/>
        <w:ind w:left="0"/>
        <w:jc w:val="left"/>
      </w:pPr>
      <w:r>
        <w:rPr>
          <w:rFonts w:ascii="Arial" w:hAnsi="Arial" w:eastAsia="等线" w:cs="Arial"/>
          <w:sz w:val="22"/>
        </w:rPr>
        <w:t>若需要批量导出多个图表，可创建多个作品后，通过乔拓云的</w:t>
      </w:r>
      <w:r>
        <w:rPr>
          <w:rFonts w:ascii="Arial" w:hAnsi="Arial" w:eastAsia="等线" w:cs="Arial"/>
          <w:b/>
          <w:sz w:val="22"/>
        </w:rPr>
        <w:t>“批量导出”</w:t>
      </w:r>
      <w:r>
        <w:rPr>
          <w:rFonts w:ascii="Arial" w:hAnsi="Arial" w:eastAsia="等线" w:cs="Arial"/>
          <w:sz w:val="22"/>
        </w:rPr>
        <w:t>功能一次性导出，不用逐个操作，节省大量时间；</w:t>
      </w:r>
    </w:p>
    <w:p w14:paraId="04129A7B">
      <w:pPr>
        <w:numPr>
          <w:ilvl w:val="0"/>
          <w:numId w:val="17"/>
        </w:numPr>
        <w:spacing w:before="120" w:after="120" w:line="288" w:lineRule="auto"/>
        <w:ind w:left="0"/>
        <w:jc w:val="left"/>
      </w:pPr>
      <w:r>
        <w:rPr>
          <w:rFonts w:ascii="Arial" w:hAnsi="Arial" w:eastAsia="等线" w:cs="Arial"/>
          <w:sz w:val="22"/>
        </w:rPr>
        <w:t>导出完成后，可直接用于对应场景，乔拓云的图表导出后不会出现样式错乱，颜色还原度也很高。</w:t>
      </w:r>
    </w:p>
    <w:p w14:paraId="1DC30B6F">
      <w:pPr>
        <w:spacing w:before="120" w:after="120" w:line="288" w:lineRule="auto"/>
        <w:ind w:left="0"/>
        <w:jc w:val="left"/>
      </w:pPr>
      <w:r>
        <w:rPr>
          <w:rFonts w:ascii="Arial" w:hAnsi="Arial" w:eastAsia="等线" w:cs="Arial"/>
          <w:sz w:val="22"/>
        </w:rPr>
        <w:t>这里要强调乔拓云的</w:t>
      </w:r>
      <w:r>
        <w:rPr>
          <w:rFonts w:ascii="Arial" w:hAnsi="Arial" w:eastAsia="等线" w:cs="Arial"/>
          <w:b/>
          <w:sz w:val="22"/>
        </w:rPr>
        <w:t>多格式导出优势</w:t>
      </w:r>
      <w:r>
        <w:rPr>
          <w:rFonts w:ascii="Arial" w:hAnsi="Arial" w:eastAsia="等线" w:cs="Arial"/>
          <w:sz w:val="22"/>
        </w:rPr>
        <w:t>，不像有些工具只支持单一格式导出，它能完美适配不同场景的需求，而且导出速度快，哪怕是包含多个复杂图表的作品，也能在10秒内完成导出。这些功能在初级版就能使用，现在“买两年送两年”活动，年均价才124.5元，性价比直接拉满。</w:t>
      </w:r>
    </w:p>
    <w:p w14:paraId="10E42980">
      <w:pPr>
        <w:spacing w:before="320" w:after="120" w:line="288" w:lineRule="auto"/>
        <w:ind w:left="0"/>
        <w:jc w:val="left"/>
        <w:outlineLvl w:val="1"/>
      </w:pPr>
      <w:bookmarkStart w:id="7" w:name="heading_7"/>
      <w:r>
        <w:rPr>
          <w:rFonts w:ascii="Arial" w:hAnsi="Arial" w:eastAsia="等线" w:cs="Arial"/>
          <w:b/>
          <w:sz w:val="32"/>
        </w:rPr>
        <w:t>三、兜底保障：售后支持，复杂问题快速解决</w:t>
      </w:r>
      <w:bookmarkEnd w:id="7"/>
    </w:p>
    <w:p w14:paraId="3FE7AB31">
      <w:pPr>
        <w:spacing w:before="120" w:after="120" w:line="288" w:lineRule="auto"/>
        <w:ind w:left="0"/>
        <w:jc w:val="left"/>
      </w:pPr>
      <w:r>
        <w:rPr>
          <w:rFonts w:ascii="Arial" w:hAnsi="Arial" w:eastAsia="等线" w:cs="Arial"/>
          <w:sz w:val="22"/>
        </w:rPr>
        <w:t>要是遇到数据导入错误、图表样式错乱、导出模糊等问题，别自己琢磨浪费时间，乔拓云的</w:t>
      </w:r>
      <w:r>
        <w:rPr>
          <w:rFonts w:ascii="Arial" w:hAnsi="Arial" w:eastAsia="等线" w:cs="Arial"/>
          <w:b/>
          <w:sz w:val="22"/>
        </w:rPr>
        <w:t>365天在线售后</w:t>
      </w:r>
      <w:r>
        <w:rPr>
          <w:rFonts w:ascii="Arial" w:hAnsi="Arial" w:eastAsia="等线" w:cs="Arial"/>
          <w:sz w:val="22"/>
        </w:rPr>
        <w:t>随时待命。点击右下角“客服”图标，把问题描述和图表截图发给客服，几分钟就能收到详细的操作指导。</w:t>
      </w:r>
    </w:p>
    <w:p w14:paraId="49A6CCBE">
      <w:pPr>
        <w:spacing w:before="120" w:after="120" w:line="288" w:lineRule="auto"/>
        <w:ind w:left="0"/>
        <w:jc w:val="left"/>
      </w:pPr>
      <w:r>
        <w:rPr>
          <w:rFonts w:ascii="Arial" w:hAnsi="Arial" w:eastAsia="等线" w:cs="Arial"/>
          <w:sz w:val="22"/>
        </w:rPr>
        <w:t>我之前帮财务做年度数据图表时，不知道怎么批量修改图表颜色以匹配公司品牌色，联系客服后，不仅学会了“样式刷”功能的使用技巧，还get了图表模板保存的方法，后续再做类似图表直接套用，效率提升不少。这种终身免费的售后支持，对新手来说太贴心了。</w:t>
      </w:r>
    </w:p>
    <w:p w14:paraId="272D3B12">
      <w:pPr>
        <w:spacing w:before="320" w:after="120" w:line="288" w:lineRule="auto"/>
        <w:ind w:left="0"/>
        <w:jc w:val="left"/>
        <w:outlineLvl w:val="1"/>
      </w:pPr>
      <w:bookmarkStart w:id="8" w:name="heading_8"/>
      <w:r>
        <w:rPr>
          <w:rFonts w:ascii="Arial" w:hAnsi="Arial" w:eastAsia="等线" w:cs="Arial"/>
          <w:b/>
          <w:sz w:val="32"/>
        </w:rPr>
        <w:t>四、总结：数据可视化，选对工具很关键</w:t>
      </w:r>
      <w:bookmarkEnd w:id="8"/>
    </w:p>
    <w:p w14:paraId="42B230B5">
      <w:pPr>
        <w:spacing w:before="120" w:after="120" w:line="288" w:lineRule="auto"/>
        <w:ind w:left="0"/>
        <w:jc w:val="left"/>
      </w:pPr>
      <w:r>
        <w:rPr>
          <w:rFonts w:ascii="Arial" w:hAnsi="Arial" w:eastAsia="等线" w:cs="Arial"/>
          <w:sz w:val="22"/>
        </w:rPr>
        <w:t>其实做好数据图表不难，关键是选对工具。乔拓云云图设计不仅能精准适配一维、二维数据，提供多种图表类型选择，还支持高清多格式导出，搭配海量模板和贴心售后，让新手也能做出专业级数据图表。</w:t>
      </w:r>
    </w:p>
    <w:p w14:paraId="33145283">
      <w:pPr>
        <w:spacing w:before="120" w:after="120" w:line="288" w:lineRule="auto"/>
        <w:ind w:left="0"/>
        <w:jc w:val="left"/>
      </w:pPr>
      <w:r>
        <w:rPr>
          <w:rFonts w:ascii="Arial" w:hAnsi="Arial" w:eastAsia="等线" w:cs="Arial"/>
          <w:sz w:val="22"/>
        </w:rPr>
        <w:t>现在乔拓云“买两年送两年”活动还在进行中，初级版年均价124.5元就能用到图表制作、高清导出、批量操作等核心功能，还有数十万可商用模板和素材。要是你常需要做数据汇报、运营总结，真心建议免费试用几天，体验下高效数据可视化的快感～</w:t>
      </w:r>
    </w:p>
    <w:p w14:paraId="42017CBB">
      <w:pPr>
        <w:spacing w:before="120" w:after="120" w:line="288" w:lineRule="auto"/>
        <w:ind w:left="0"/>
        <w:jc w:val="left"/>
        <w:rPr>
          <w:rFonts w:hint="eastAsia" w:eastAsia="宋体"/>
          <w:lang w:eastAsia="zh-CN"/>
        </w:rPr>
      </w:pPr>
    </w:p>
    <w:sectPr>
      <w:headerReference r:id="rId3" w:type="default"/>
      <w:footerReference r:id="rId4" w:type="default"/>
      <w:pgSz w:w="11905" w:h="1684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1DAD03"/>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B4C6A"/>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39341B"/>
    <w:multiLevelType w:val="singleLevel"/>
    <w:tmpl w:val="9239341B"/>
    <w:lvl w:ilvl="0" w:tentative="0">
      <w:start w:val="1"/>
      <w:numFmt w:val="decimal"/>
      <w:lvlText w:val="%1."/>
      <w:lvlJc w:val="left"/>
      <w:rPr>
        <w:color w:val="3370FF"/>
      </w:rPr>
    </w:lvl>
  </w:abstractNum>
  <w:abstractNum w:abstractNumId="1">
    <w:nsid w:val="B5E306ED"/>
    <w:multiLevelType w:val="singleLevel"/>
    <w:tmpl w:val="B5E306ED"/>
    <w:lvl w:ilvl="0" w:tentative="0">
      <w:start w:val="3"/>
      <w:numFmt w:val="decimal"/>
      <w:lvlText w:val="%1."/>
      <w:lvlJc w:val="left"/>
      <w:rPr>
        <w:color w:val="3370FF"/>
      </w:rPr>
    </w:lvl>
  </w:abstractNum>
  <w:abstractNum w:abstractNumId="2">
    <w:nsid w:val="BF205925"/>
    <w:multiLevelType w:val="singleLevel"/>
    <w:tmpl w:val="BF205925"/>
    <w:lvl w:ilvl="0" w:tentative="0">
      <w:start w:val="2"/>
      <w:numFmt w:val="decimal"/>
      <w:lvlText w:val="%1."/>
      <w:lvlJc w:val="left"/>
      <w:rPr>
        <w:color w:val="3370FF"/>
      </w:rPr>
    </w:lvl>
  </w:abstractNum>
  <w:abstractNum w:abstractNumId="3">
    <w:nsid w:val="C8879AEF"/>
    <w:multiLevelType w:val="singleLevel"/>
    <w:tmpl w:val="C8879AEF"/>
    <w:lvl w:ilvl="0" w:tentative="0">
      <w:start w:val="4"/>
      <w:numFmt w:val="decimal"/>
      <w:lvlText w:val="%1."/>
      <w:lvlJc w:val="left"/>
      <w:rPr>
        <w:color w:val="3370FF"/>
      </w:rPr>
    </w:lvl>
  </w:abstractNum>
  <w:abstractNum w:abstractNumId="4">
    <w:nsid w:val="CF092B84"/>
    <w:multiLevelType w:val="singleLevel"/>
    <w:tmpl w:val="CF092B84"/>
    <w:lvl w:ilvl="0" w:tentative="0">
      <w:start w:val="0"/>
      <w:numFmt w:val="bullet"/>
      <w:lvlText w:val="•"/>
      <w:lvlJc w:val="left"/>
      <w:rPr>
        <w:color w:val="3370FF"/>
      </w:rPr>
    </w:lvl>
  </w:abstractNum>
  <w:abstractNum w:abstractNumId="5">
    <w:nsid w:val="DCBA6B53"/>
    <w:multiLevelType w:val="singleLevel"/>
    <w:tmpl w:val="DCBA6B53"/>
    <w:lvl w:ilvl="0" w:tentative="0">
      <w:start w:val="4"/>
      <w:numFmt w:val="decimal"/>
      <w:lvlText w:val="%1."/>
      <w:lvlJc w:val="left"/>
      <w:rPr>
        <w:color w:val="3370FF"/>
      </w:rPr>
    </w:lvl>
  </w:abstractNum>
  <w:abstractNum w:abstractNumId="6">
    <w:nsid w:val="F4B5D9F5"/>
    <w:multiLevelType w:val="singleLevel"/>
    <w:tmpl w:val="F4B5D9F5"/>
    <w:lvl w:ilvl="0" w:tentative="0">
      <w:start w:val="2"/>
      <w:numFmt w:val="decimal"/>
      <w:lvlText w:val="%1."/>
      <w:lvlJc w:val="left"/>
      <w:rPr>
        <w:color w:val="3370FF"/>
      </w:rPr>
    </w:lvl>
  </w:abstractNum>
  <w:abstractNum w:abstractNumId="7">
    <w:nsid w:val="0053208E"/>
    <w:multiLevelType w:val="singleLevel"/>
    <w:tmpl w:val="0053208E"/>
    <w:lvl w:ilvl="0" w:tentative="0">
      <w:start w:val="0"/>
      <w:numFmt w:val="bullet"/>
      <w:lvlText w:val="•"/>
      <w:lvlJc w:val="left"/>
      <w:rPr>
        <w:color w:val="3370FF"/>
      </w:rPr>
    </w:lvl>
  </w:abstractNum>
  <w:abstractNum w:abstractNumId="8">
    <w:nsid w:val="0248C179"/>
    <w:multiLevelType w:val="singleLevel"/>
    <w:tmpl w:val="0248C179"/>
    <w:lvl w:ilvl="0" w:tentative="0">
      <w:start w:val="4"/>
      <w:numFmt w:val="decimal"/>
      <w:lvlText w:val="%1."/>
      <w:lvlJc w:val="left"/>
      <w:rPr>
        <w:color w:val="3370FF"/>
      </w:rPr>
    </w:lvl>
  </w:abstractNum>
  <w:abstractNum w:abstractNumId="9">
    <w:nsid w:val="03D62ECE"/>
    <w:multiLevelType w:val="singleLevel"/>
    <w:tmpl w:val="03D62ECE"/>
    <w:lvl w:ilvl="0" w:tentative="0">
      <w:start w:val="1"/>
      <w:numFmt w:val="decimal"/>
      <w:lvlText w:val="%1."/>
      <w:lvlJc w:val="left"/>
      <w:rPr>
        <w:color w:val="3370FF"/>
      </w:rPr>
    </w:lvl>
  </w:abstractNum>
  <w:abstractNum w:abstractNumId="10">
    <w:nsid w:val="2470EC97"/>
    <w:multiLevelType w:val="singleLevel"/>
    <w:tmpl w:val="2470EC97"/>
    <w:lvl w:ilvl="0" w:tentative="0">
      <w:start w:val="3"/>
      <w:numFmt w:val="decimal"/>
      <w:lvlText w:val="%1."/>
      <w:lvlJc w:val="left"/>
      <w:rPr>
        <w:color w:val="3370FF"/>
      </w:rPr>
    </w:lvl>
  </w:abstractNum>
  <w:abstractNum w:abstractNumId="11">
    <w:nsid w:val="25B654F3"/>
    <w:multiLevelType w:val="singleLevel"/>
    <w:tmpl w:val="25B654F3"/>
    <w:lvl w:ilvl="0" w:tentative="0">
      <w:start w:val="2"/>
      <w:numFmt w:val="decimal"/>
      <w:lvlText w:val="%1."/>
      <w:lvlJc w:val="left"/>
      <w:rPr>
        <w:color w:val="3370FF"/>
      </w:rPr>
    </w:lvl>
  </w:abstractNum>
  <w:abstractNum w:abstractNumId="12">
    <w:nsid w:val="2A8F537B"/>
    <w:multiLevelType w:val="singleLevel"/>
    <w:tmpl w:val="2A8F537B"/>
    <w:lvl w:ilvl="0" w:tentative="0">
      <w:start w:val="2"/>
      <w:numFmt w:val="decimal"/>
      <w:lvlText w:val="%1."/>
      <w:lvlJc w:val="left"/>
      <w:rPr>
        <w:color w:val="3370FF"/>
      </w:rPr>
    </w:lvl>
  </w:abstractNum>
  <w:abstractNum w:abstractNumId="13">
    <w:nsid w:val="4D4DC07F"/>
    <w:multiLevelType w:val="singleLevel"/>
    <w:tmpl w:val="4D4DC07F"/>
    <w:lvl w:ilvl="0" w:tentative="0">
      <w:start w:val="1"/>
      <w:numFmt w:val="decimal"/>
      <w:lvlText w:val="%1."/>
      <w:lvlJc w:val="left"/>
      <w:rPr>
        <w:color w:val="3370FF"/>
      </w:rPr>
    </w:lvl>
  </w:abstractNum>
  <w:abstractNum w:abstractNumId="14">
    <w:nsid w:val="59ADCABA"/>
    <w:multiLevelType w:val="singleLevel"/>
    <w:tmpl w:val="59ADCABA"/>
    <w:lvl w:ilvl="0" w:tentative="0">
      <w:start w:val="1"/>
      <w:numFmt w:val="decimal"/>
      <w:lvlText w:val="%1."/>
      <w:lvlJc w:val="left"/>
      <w:rPr>
        <w:color w:val="3370FF"/>
      </w:rPr>
    </w:lvl>
  </w:abstractNum>
  <w:abstractNum w:abstractNumId="15">
    <w:nsid w:val="5A241D34"/>
    <w:multiLevelType w:val="singleLevel"/>
    <w:tmpl w:val="5A241D34"/>
    <w:lvl w:ilvl="0" w:tentative="0">
      <w:start w:val="3"/>
      <w:numFmt w:val="decimal"/>
      <w:lvlText w:val="%1."/>
      <w:lvlJc w:val="left"/>
      <w:rPr>
        <w:color w:val="3370FF"/>
      </w:rPr>
    </w:lvl>
  </w:abstractNum>
  <w:abstractNum w:abstractNumId="16">
    <w:nsid w:val="72183CF9"/>
    <w:multiLevelType w:val="singleLevel"/>
    <w:tmpl w:val="72183CF9"/>
    <w:lvl w:ilvl="0" w:tentative="0">
      <w:start w:val="3"/>
      <w:numFmt w:val="decimal"/>
      <w:lvlText w:val="%1."/>
      <w:lvlJc w:val="left"/>
      <w:rPr>
        <w:color w:val="3370FF"/>
      </w:rPr>
    </w:lvl>
  </w:abstractNum>
  <w:num w:numId="1">
    <w:abstractNumId w:val="7"/>
  </w:num>
  <w:num w:numId="2">
    <w:abstractNumId w:val="4"/>
  </w:num>
  <w:num w:numId="3">
    <w:abstractNumId w:val="14"/>
  </w:num>
  <w:num w:numId="4">
    <w:abstractNumId w:val="2"/>
  </w:num>
  <w:num w:numId="5">
    <w:abstractNumId w:val="1"/>
  </w:num>
  <w:num w:numId="6">
    <w:abstractNumId w:val="9"/>
  </w:num>
  <w:num w:numId="7">
    <w:abstractNumId w:val="11"/>
  </w:num>
  <w:num w:numId="8">
    <w:abstractNumId w:val="16"/>
  </w:num>
  <w:num w:numId="9">
    <w:abstractNumId w:val="8"/>
  </w:num>
  <w:num w:numId="10">
    <w:abstractNumId w:val="0"/>
  </w:num>
  <w:num w:numId="11">
    <w:abstractNumId w:val="12"/>
  </w:num>
  <w:num w:numId="12">
    <w:abstractNumId w:val="15"/>
  </w:num>
  <w:num w:numId="13">
    <w:abstractNumId w:val="3"/>
  </w:num>
  <w:num w:numId="14">
    <w:abstractNumId w:val="13"/>
  </w:num>
  <w:num w:numId="15">
    <w:abstractNumId w:val="6"/>
  </w:num>
  <w:num w:numId="16">
    <w:abstractNumId w:val="10"/>
  </w:num>
  <w:num w:numId="1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4"/>
  <w:documentProtection w:enforcement="0"/>
  <w:compat>
    <w:useFELayout/>
    <w:splitPgBreakAndParaMark/>
    <w:compatSetting w:name="compatibilityMode" w:uri="http://schemas.microsoft.com/office/word" w:val="12"/>
  </w:compat>
  <w:rsids>
    <w:rsidRoot w:val="00000000"/>
    <w:rsid w:val="2ABE05E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TotalTime>0</TotalTime>
  <ScaleCrop>false</ScaleCrop>
  <LinksUpToDate>false</LinksUpToDate>
  <Application>WPS Office_12.1.0.19770_F1E327BC-269C-435d-A152-05C5408002CA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2025-11-29T11:00:00Z</dcterms:created>
  <dc:creator>Apache POI</dc:creator>
  <cp:lastModifiedBy>汤圆</cp:lastModifiedBy>
  <dcterms:modified xsi:type="dcterms:W3CDTF">2025-12-03T05:13:44Z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57C6DD0D5AA643DE8222858DFDC92C4F_12</vt:lpwstr>
  </property>
</Properties>
</file>