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PVBEDU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03.0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BIPLGV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BIPLGV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PVBEDU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BIPLGV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BIPLGV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Chlorambucil</w:t>
      </w:r>
    </w:p>
    <w:p>
      <w:pPr>
        <w:spacing w:before="309" w:after="0" w:line="236" w:lineRule="exact"/>
        <w:ind w:left="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BIPLGV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HY-13593</w:t>
      </w:r>
    </w:p>
    <w:p>
      <w:pPr>
        <w:spacing w:before="109" w:after="0" w:line="236" w:lineRule="exact"/>
        <w:ind w:left="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BIPLGV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305-03-3</w:t>
      </w:r>
    </w:p>
    <w:p>
      <w:pPr>
        <w:spacing w:before="107" w:after="0" w:line="238" w:lineRule="exact"/>
        <w:ind w:left="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UDDTDO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C₁₄H₁₉Cl₂NO₂</w:t>
      </w:r>
    </w:p>
    <w:p>
      <w:pPr>
        <w:spacing w:before="105" w:after="0" w:line="238" w:lineRule="exact"/>
        <w:ind w:left="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UDDTDO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304.21</w:t>
      </w:r>
    </w:p>
    <w:p>
      <w:pPr>
        <w:spacing w:before="105" w:after="0" w:line="238" w:lineRule="exact"/>
        <w:ind w:left="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UDDTD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DNA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Alkylator/Crosslinker</w:t>
      </w:r>
    </w:p>
    <w:p>
      <w:pPr>
        <w:spacing w:before="107" w:after="0" w:line="236" w:lineRule="exact"/>
        <w:ind w:left="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UDDTD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Cycle/DNA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Damage</w:t>
      </w:r>
    </w:p>
    <w:p>
      <w:pPr>
        <w:spacing w:before="109" w:after="0" w:line="236" w:lineRule="exact"/>
        <w:ind w:left="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UDDTDO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PVBEDU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VBEDU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PVBEDU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PVBEDU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PVBEDU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VBEDU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UDDTDO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UDDTDO+AdobeHeitiStd-Regular-Identity-H" w:hAnsi="Calibri" w:eastAsiaTheme="minorEastAsia" w:cstheme="minorBidi"/>
          <w:color w:val="3E3A39"/>
          <w:spacing w:val="1028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BIPLGV+SegoeUI-SemiBold" w:eastAsiaTheme="minorEastAsia" w:cs="BIPLGV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24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78.89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256" w:line="236" w:lineRule="exact"/>
        <w:ind w:left="1996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56"/>
        <w:gridCol w:w="728"/>
        <w:gridCol w:w="20"/>
        <w:gridCol w:w="1154"/>
        <w:gridCol w:w="20"/>
        <w:gridCol w:w="4072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5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PVBEDU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BIPLG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IPLG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5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BIPLG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IPLG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72" w:type="dxa"/>
            <w:noWrap w:val="0"/>
            <w:textDirection w:val="lrTb"/>
            <w:tcFitText w:val="0"/>
            <w:vAlign w:val="top"/>
          </w:tcPr>
          <w:p>
            <w:pPr>
              <w:spacing w:before="208" w:after="0" w:line="226" w:lineRule="exact"/>
              <w:ind w:left="0" w:right="0" w:firstLine="0"/>
              <w:jc w:val="left"/>
              <w:rPr>
                <w:rFonts w:ascii="BIPLG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pacing w:val="132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pacing w:val="1295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14" w:right="0" w:firstLine="0"/>
        <w:jc w:val="left"/>
        <w:rPr>
          <w:rFonts w:ascii="BIPLGV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996"/>
        <w:gridCol w:w="2357"/>
        <w:gridCol w:w="20"/>
        <w:gridCol w:w="6263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199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BIPLGV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57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63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PVBEDU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pacing w:val="1324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3.2872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PVBEDU+SegoeUI" w:hAnsi="Calibri" w:eastAsiaTheme="minorEastAsia" w:cstheme="minorBidi"/>
                <w:color w:val="3E3A39"/>
                <w:spacing w:val="90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16.4360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PVBEDU+SegoeUI" w:hAnsi="Calibri" w:eastAsiaTheme="minorEastAsia" w:cstheme="minorBidi"/>
                <w:color w:val="3E3A39"/>
                <w:spacing w:val="87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32.8720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PVBEDU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372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BIPLGV+SegoeUI-SemiBold" w:hAnsi="Calibri" w:eastAsiaTheme="minorEastAsia" w:cstheme="minorBidi"/>
          <w:b/>
          <w:color w:val="3E3A39"/>
          <w:spacing w:val="1324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0.6574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VBEDU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3.2872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VBEDU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6.5744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25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BIPLGV+SegoeUI-SemiBold" w:hAnsi="Calibri" w:eastAsiaTheme="minorEastAsia" w:cstheme="minorBidi"/>
          <w:b/>
          <w:color w:val="3E3A39"/>
          <w:spacing w:val="1277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0.3287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VBEDU+SegoeUI" w:hAnsi="Calibri" w:eastAsiaTheme="minorEastAsia" w:cstheme="minorBidi"/>
          <w:color w:val="3E3A39"/>
          <w:spacing w:val="954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1.6436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PVBEDU+SegoeUI" w:hAnsi="Calibri" w:eastAsiaTheme="minorEastAsia" w:cstheme="minorBidi"/>
          <w:color w:val="3E3A39"/>
          <w:spacing w:val="96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3.2872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1996" w:right="0" w:firstLine="0"/>
        <w:jc w:val="left"/>
        <w:rPr>
          <w:rFonts w:ascii="UDDTD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请根据产品在不同溶剂中的溶解度选择合适的溶剂配制储备液；⼀旦配成溶液，请分装保存，避免反复冻融造成的产品失</w:t>
      </w:r>
    </w:p>
    <w:p>
      <w:pPr>
        <w:spacing w:before="29" w:after="0" w:line="242" w:lineRule="exact"/>
        <w:ind w:left="1996" w:right="0" w:firstLine="0"/>
        <w:jc w:val="left"/>
        <w:rPr>
          <w:rFonts w:ascii="UDDTD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效。储备液的保存⽅式和期限：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PVBEDU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UDDTDO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PVBEDU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PVBEDU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储存时，请</w:t>
      </w:r>
    </w:p>
    <w:p>
      <w:pPr>
        <w:spacing w:before="31" w:after="277" w:line="242" w:lineRule="exact"/>
        <w:ind w:left="1996" w:right="0" w:firstLine="0"/>
        <w:jc w:val="left"/>
        <w:rPr>
          <w:rFonts w:ascii="UDDTDO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在</w:t>
      </w:r>
      <w:r>
        <w:rPr>
          <w:rFonts w:ascii="UDDTDO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PVBEDU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1726"/>
        <w:gridCol w:w="20"/>
        <w:gridCol w:w="12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1278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72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2" w:lineRule="exac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体内实验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2240" w:type="dxa"/>
            <w:noWrap w:val="0"/>
            <w:textDirection w:val="lrTb"/>
            <w:tcFitText w:val="0"/>
            <w:vAlign w:val="top"/>
          </w:tcPr>
          <w:p>
            <w:pPr>
              <w:spacing w:before="2" w:after="0" w:line="226" w:lineRule="exac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请根据您的实验动物和给药⽅式选择适当的溶解⽅案。以下溶解⽅案都请先按照</w:t>
            </w:r>
            <w:r>
              <w:rPr>
                <w:rFonts w:ascii="UDDTDO+AdobeHeitiStd-Regular-Identity-H" w:hAnsi="Calibri" w:eastAsiaTheme="minorEastAsia" w:cstheme="minorBidi"/>
                <w:color w:val="3E3A39"/>
                <w:spacing w:val="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In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Vitro</w:t>
            </w:r>
            <w:r>
              <w:rPr>
                <w:rFonts w:ascii="BIPLGV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⽅式配制澄</w:t>
            </w: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pacing w:val="-10969"/>
                <w:sz w:val="17"/>
                <w:szCs w:val="22"/>
                <w:lang w:val="en-US" w:eastAsia="en-US" w:bidi="ar-SA"/>
              </w:rPr>
              <w:t>清</w:t>
            </w: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的储备液，再依</w:t>
            </w:r>
          </w:p>
          <w:p>
            <w:pPr>
              <w:spacing w:before="65" w:after="0" w:line="212" w:lineRule="exac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次添加助溶剂：</w:t>
            </w:r>
          </w:p>
          <w:p>
            <w:pPr>
              <w:spacing w:before="44" w:after="0" w:line="212" w:lineRule="exac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为保证实验结果的可靠性，澄</w:t>
            </w:r>
            <w:r>
              <w:rPr>
                <w:rFonts w:ascii="UDDTDO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的储备液可以根据储存条件，适当保存；体内实验的⼯作液，建议您现⽤现配，当天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使⽤；</w:t>
            </w:r>
            <w:r>
              <w:rPr>
                <w:rFonts w:ascii="UDDTDO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以下溶剂前显⽰的百分⽐</w:t>
            </w:r>
            <w:r>
              <w:rPr>
                <w:rFonts w:ascii="UDDTDO+AdobeHeitiStd-Regular-Identity-H" w:hAnsi="Calibri" w:eastAsiaTheme="minorEastAsia" w:cstheme="minorBidi"/>
                <w:color w:val="3E3A39"/>
                <w:spacing w:val="132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指该溶剂在您配制终溶液中的体积占⽐；如在配制过程中出现沉淀、析出现象，可</w:t>
            </w:r>
          </w:p>
          <w:p>
            <w:pPr>
              <w:spacing w:before="0" w:after="0" w:line="255" w:lineRule="exact"/>
              <w:ind w:left="0" w:right="0" w:firstLine="0"/>
              <w:jc w:val="left"/>
              <w:rPr>
                <w:rFonts w:ascii="UDDTDO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UDDTDO+AdobeHeitiStd-Regular-Identity-H" w:hAnsi="UDDTDO+AdobeHeitiStd-Regular-Identity-H" w:eastAsiaTheme="minorEastAsia" w:cs="UDDTDO+AdobeHeitiStd-Regular-Identity-H"/>
                <w:color w:val="3E3A39"/>
                <w:sz w:val="17"/>
                <w:szCs w:val="22"/>
                <w:lang w:val="en-US" w:eastAsia="en-US" w:bidi="ar-SA"/>
              </w:rPr>
              <w:t>以通过加热和/或超声的⽅式助溶</w:t>
            </w:r>
          </w:p>
        </w:tc>
      </w:tr>
    </w:tbl>
    <w:p>
      <w:pPr>
        <w:spacing w:before="135" w:after="0" w:line="242" w:lineRule="exact"/>
        <w:ind w:left="1991" w:right="0" w:firstLine="0"/>
        <w:jc w:val="left"/>
        <w:rPr>
          <w:rFonts w:ascii="BIPLGV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UDDTDO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BIPLGV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40%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PEG300</w:t>
      </w:r>
      <w:r>
        <w:rPr>
          <w:rFonts w:ascii="BIPLGV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5%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Tween-80</w:t>
      </w:r>
      <w:r>
        <w:rPr>
          <w:rFonts w:ascii="BIPLGV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45%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</w:t>
      </w:r>
    </w:p>
    <w:p>
      <w:pPr>
        <w:spacing w:before="36" w:after="0" w:line="236" w:lineRule="exact"/>
        <w:ind w:left="2166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(8.22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UDDTDO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UDDTD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(8.22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PVBED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溶液。</w:t>
      </w:r>
    </w:p>
    <w:p>
      <w:pPr>
        <w:spacing w:before="0" w:after="0" w:line="262" w:lineRule="exact"/>
        <w:ind w:left="2166" w:right="0" w:firstLine="0"/>
        <w:jc w:val="left"/>
        <w:rPr>
          <w:rFonts w:ascii="UDDTDO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UDDTD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PVBED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UDDTD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PVBED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UDDTDO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PVBED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UDDTD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400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PEG300</w:t>
      </w:r>
      <w:r>
        <w:rPr>
          <w:rFonts w:ascii="PVBED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中，混合均匀；向上述体系中加⼊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50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Tween-80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，混合均匀；然后继续加⼊</w:t>
      </w:r>
      <w:r>
        <w:rPr>
          <w:rFonts w:ascii="UDDTD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450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PVBEDU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⽣理盐⽔定容⾄</w:t>
      </w:r>
      <w:r>
        <w:rPr>
          <w:rFonts w:ascii="UDDTDO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UDDTDO+AdobeHeitiStd-Regular-Identity-H" w:hAnsi="UDDTDO+AdobeHeitiStd-Regular-Identity-H" w:eastAsiaTheme="minorEastAsia" w:cs="UDDTDO+AdobeHeitiStd-Regular-Identity-H"/>
          <w:color w:val="808285"/>
          <w:sz w:val="16"/>
          <w:szCs w:val="22"/>
          <w:lang w:val="en-US" w:eastAsia="en-US" w:bidi="ar-SA"/>
        </w:rPr>
        <w:t>。</w:t>
      </w:r>
    </w:p>
    <w:p>
      <w:pPr>
        <w:spacing w:before="178" w:after="0" w:line="242" w:lineRule="exact"/>
        <w:ind w:left="1991" w:right="0" w:firstLine="0"/>
        <w:jc w:val="left"/>
        <w:rPr>
          <w:rFonts w:ascii="BIPLGV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DDTDO+AdobeHeitiStd-Regular-Identity-H" w:hAnsi="UDDTDO+AdobeHeitiStd-Regular-Identity-H" w:eastAsiaTheme="minorEastAsia" w:cs="UDDTDO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UDDTDO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BIPLGV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(20%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BIPLGV+SegoeUI-SemiBold" w:eastAsiaTheme="minorEastAsia" w:cs="BIPLGV+SegoeUI-SemiBold"/>
          <w:b/>
          <w:color w:val="3E3A39"/>
          <w:sz w:val="17"/>
          <w:szCs w:val="22"/>
          <w:lang w:val="en-US" w:eastAsia="en-US" w:bidi="ar-SA"/>
        </w:rPr>
        <w:t>SBE-β-CD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BIPLGV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saline)</w:t>
      </w:r>
    </w:p>
    <w:p>
      <w:pPr>
        <w:spacing w:before="36" w:after="0" w:line="236" w:lineRule="exact"/>
        <w:ind w:left="2166" w:right="0" w:firstLine="0"/>
        <w:jc w:val="left"/>
        <w:rPr>
          <w:rFonts w:ascii="PVBEDU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PVBEDU+SegoeUI" w:eastAsiaTheme="minorEastAsia" w:cs="PVBEDU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(8.22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PVBEDU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09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77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1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61" w:lineRule="exact"/>
        <w:ind w:left="2166" w:right="0" w:firstLine="0"/>
        <w:jc w:val="left"/>
        <w:rPr>
          <w:rFonts w:ascii="TCBAHP+AdobeHeitiStd-Regular-Identity-H" w:hAnsi="Calibri"/>
          <w:color w:val="000000"/>
          <w:sz w:val="16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2096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25pt;height:688.85pt;margin-top:34pt;margin-left:29.85pt;mso-position-horizontal-relative:page;mso-position-vertical-relative:page;position:absolute;z-index:-251654144">
            <v:imagedata r:id="rId7" o:title=""/>
          </v:shape>
        </w:pict>
      </w:r>
      <w:r>
        <w:rPr>
          <w:noProof/>
        </w:rPr>
        <w:pict>
          <v:shape id="_x0000_s1029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(8.22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pacing w:val="-10324"/>
          <w:sz w:val="16"/>
          <w:szCs w:val="22"/>
          <w:lang w:val="en-US" w:eastAsia="en-US" w:bidi="ar-SA"/>
        </w:rPr>
        <w:t>清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溶液。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cr/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CBAHP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20%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的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808285"/>
          <w:sz w:val="16"/>
          <w:szCs w:val="22"/>
          <w:lang w:val="en-US" w:eastAsia="en-US" w:bidi="ar-SA"/>
        </w:rPr>
        <w:t>SBE-β-CD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⽣理盐⽔⽔溶液中，混合</w:t>
      </w:r>
    </w:p>
    <w:p>
      <w:pPr>
        <w:spacing w:before="32" w:after="0" w:line="210" w:lineRule="exact"/>
        <w:ind w:left="2166" w:right="0" w:firstLine="0"/>
        <w:jc w:val="left"/>
        <w:rPr>
          <w:rFonts w:ascii="TCBAH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均匀。</w:t>
      </w:r>
    </w:p>
    <w:p>
      <w:pPr>
        <w:spacing w:before="176" w:after="0" w:line="242" w:lineRule="exact"/>
        <w:ind w:left="1991" w:right="0" w:firstLine="0"/>
        <w:jc w:val="left"/>
        <w:rPr>
          <w:rFonts w:ascii="AKJHHN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3.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3E3A39"/>
          <w:sz w:val="17"/>
          <w:szCs w:val="22"/>
          <w:lang w:val="en-US" w:eastAsia="en-US" w:bidi="ar-SA"/>
        </w:rPr>
        <w:t>请依序添加每种溶剂：</w:t>
      </w:r>
      <w:r>
        <w:rPr>
          <w:rFonts w:ascii="TCBAHP+AdobeHeitiStd-Regular-Identity-H" w:hAnsi="Calibri" w:eastAsiaTheme="minorEastAsia" w:cstheme="minorBidi"/>
          <w:color w:val="3E3A39"/>
          <w:spacing w:val="8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10%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KJHHN+SegoeUI-SemiBold" w:hAnsi="Calibri" w:eastAsiaTheme="minorEastAsia" w:cstheme="minorBidi"/>
          <w:b/>
          <w:color w:val="3E3A39"/>
          <w:spacing w:val="281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90%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corn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oil</w:t>
      </w:r>
    </w:p>
    <w:p>
      <w:pPr>
        <w:spacing w:before="36" w:after="0" w:line="236" w:lineRule="exact"/>
        <w:ind w:left="2166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Solubility: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≥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mg/mL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(8.22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mM);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Clear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solution</w:t>
      </w:r>
    </w:p>
    <w:p>
      <w:pPr>
        <w:spacing w:before="87" w:after="0" w:line="228" w:lineRule="exact"/>
        <w:ind w:left="2166" w:right="0" w:firstLine="0"/>
        <w:jc w:val="left"/>
        <w:rPr>
          <w:rFonts w:ascii="TCBAH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此⽅案可获得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808285"/>
          <w:sz w:val="16"/>
          <w:szCs w:val="22"/>
          <w:lang w:val="en-US" w:eastAsia="en-US" w:bidi="ar-SA"/>
        </w:rPr>
        <w:t>≥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2.5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(8.22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mM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，饱和度未知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)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CBAHP+AdobeHeitiStd-Regular-Identity-H" w:hAnsi="Calibri" w:eastAsiaTheme="minorEastAsia" w:cstheme="minorBidi"/>
          <w:color w:val="808285"/>
          <w:spacing w:val="124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溶液，此⽅案不适⽤于实验周</w:t>
      </w:r>
      <w:r>
        <w:rPr>
          <w:rFonts w:ascii="TCBAHP+AdobeHeitiStd-Regular-Identity-H" w:hAnsi="Calibri" w:eastAsiaTheme="minorEastAsia" w:cstheme="minorBidi"/>
          <w:color w:val="808285"/>
          <w:spacing w:val="121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期在半个⽉以上的实验。</w:t>
      </w:r>
    </w:p>
    <w:p>
      <w:pPr>
        <w:spacing w:before="28" w:after="0" w:line="228" w:lineRule="exact"/>
        <w:ind w:left="2166" w:right="0" w:firstLine="0"/>
        <w:jc w:val="left"/>
        <w:rPr>
          <w:rFonts w:ascii="TCBAHP+AdobeHeitiStd-Regular-Identity-H" w:hAnsi="Calibri"/>
          <w:color w:val="000000"/>
          <w:sz w:val="16"/>
          <w:szCs w:val="22"/>
          <w:lang w:val="en-US" w:eastAsia="en-US" w:bidi="ar-SA"/>
        </w:rPr>
      </w:pP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以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mL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⼯作液为例，取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100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25.0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mg/mL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的澄</w:t>
      </w:r>
      <w:r>
        <w:rPr>
          <w:rFonts w:ascii="TCBAHP+AdobeHeitiStd-Regular-Identity-H" w:hAnsi="Calibri" w:eastAsiaTheme="minorEastAsia" w:cstheme="minorBidi"/>
          <w:color w:val="808285"/>
          <w:spacing w:val="160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DMSO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储备液加到</w:t>
      </w:r>
      <w:r>
        <w:rPr>
          <w:rFonts w:ascii="TCBAHP+AdobeHeitiStd-Regular-Identity-H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>900</w:t>
      </w:r>
      <w:r>
        <w:rPr>
          <w:rFonts w:ascii="GLCHAQ+SegoeUI" w:hAnsi="Calibri" w:eastAsiaTheme="minorEastAsia" w:cstheme="minorBidi"/>
          <w:color w:val="808285"/>
          <w:sz w:val="16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808285"/>
          <w:sz w:val="16"/>
          <w:szCs w:val="22"/>
          <w:lang w:val="en-US" w:eastAsia="en-US" w:bidi="ar-SA"/>
        </w:rPr>
        <w:t>μL</w:t>
      </w:r>
      <w:r>
        <w:rPr>
          <w:rFonts w:ascii="GLCHAQ+SegoeUI" w:hAnsi="Calibri" w:eastAsiaTheme="minorEastAsia" w:cstheme="minorBidi"/>
          <w:color w:val="808285"/>
          <w:spacing w:val="-8"/>
          <w:sz w:val="16"/>
          <w:szCs w:val="22"/>
          <w:lang w:val="en-US" w:eastAsia="en-US" w:bidi="ar-SA"/>
        </w:rPr>
        <w:t xml:space="preserve"> </w:t>
      </w:r>
      <w:r>
        <w:rPr>
          <w:rFonts w:ascii="TCBAHP+AdobeHeitiStd-Regular-Identity-H" w:hAnsi="TCBAHP+AdobeHeitiStd-Regular-Identity-H" w:eastAsiaTheme="minorEastAsia" w:cs="TCBAHP+AdobeHeitiStd-Regular-Identity-H"/>
          <w:color w:val="808285"/>
          <w:sz w:val="16"/>
          <w:szCs w:val="22"/>
          <w:lang w:val="en-US" w:eastAsia="en-US" w:bidi="ar-SA"/>
        </w:rPr>
        <w:t>⽟⽶油中，混合均匀。</w:t>
      </w:r>
    </w:p>
    <w:p>
      <w:pPr>
        <w:spacing w:before="1065" w:after="219" w:line="276" w:lineRule="exact"/>
        <w:ind w:left="216" w:right="0" w:firstLine="0"/>
        <w:jc w:val="left"/>
        <w:rPr>
          <w:rFonts w:ascii="AKJHHN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KJHHN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AKJHHN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50"/>
        <w:gridCol w:w="2958"/>
        <w:gridCol w:w="20"/>
        <w:gridCol w:w="3271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32"/>
          <w:jc w:val="left"/>
        </w:trPr>
        <w:tc>
          <w:tcPr>
            <w:tcW w:w="25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KJHHN+SegoeUI-SemiBold" w:hAnsi="Calibri"/>
                <w:b/>
                <w:color w:val="000000"/>
                <w:sz w:val="20"/>
                <w:szCs w:val="22"/>
                <w:lang w:val="en-US" w:eastAsia="en-US" w:bidi="ar-SA"/>
              </w:rPr>
            </w:pPr>
          </w:p>
        </w:tc>
        <w:tc>
          <w:tcPr>
            <w:tcW w:w="295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GLCHAQ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CBAHP+AdobeHeitiStd-Regular-Identity-H" w:hAnsi="TCBAHP+AdobeHeitiStd-Regular-Identity-H" w:eastAsiaTheme="minorEastAsia" w:cs="TCBAHP+AdobeHeitiStd-Regular-Identity-H"/>
                <w:color w:val="3E3A39"/>
                <w:sz w:val="17"/>
                <w:szCs w:val="22"/>
                <w:lang w:val="en-US" w:eastAsia="en-US" w:bidi="ar-SA"/>
              </w:rPr>
              <w:t>⽣物活性</w:t>
            </w:r>
            <w:r>
              <w:rPr>
                <w:rFonts w:ascii="TCBAHP+AdobeHeitiStd-Regular-Identity-H" w:hAnsi="Calibri" w:eastAsiaTheme="minorEastAsia" w:cstheme="minorBidi"/>
                <w:color w:val="3E3A39"/>
                <w:spacing w:val="1053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GLCHA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Chlorambucil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GLCHAQ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3271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TCBAHP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TCBAHP+AdobeHeitiStd-Regular-Identity-H" w:hAnsi="TCBAHP+AdobeHeitiStd-Regular-Identity-H" w:eastAsiaTheme="minorEastAsia" w:cs="TCBAHP+AdobeHeitiStd-Regular-Identity-H"/>
                <w:color w:val="3E3A39"/>
                <w:sz w:val="17"/>
                <w:szCs w:val="22"/>
                <w:lang w:val="en-US" w:eastAsia="en-US" w:bidi="ar-SA"/>
              </w:rPr>
              <w:t>⼀种烷化剂</w:t>
            </w:r>
            <w:r>
              <w:rPr>
                <w:rFonts w:ascii="TCBAHP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TCBAHP+AdobeHeitiStd-Regular-Identity-H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(</w:t>
            </w:r>
            <w:r>
              <w:rPr>
                <w:rFonts w:ascii="AKJHHN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alkylator</w:t>
            </w:r>
            <w:r>
              <w:rPr>
                <w:rFonts w:ascii="GLCHAQ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)</w:t>
            </w:r>
            <w:r>
              <w:rPr>
                <w:rFonts w:ascii="TCBAHP+AdobeHeitiStd-Regular-Identity-H" w:hAnsi="TCBAHP+AdobeHeitiStd-Regular-Identity-H" w:eastAsiaTheme="minorEastAsia" w:cs="TCBAHP+AdobeHeitiStd-Regular-Identity-H"/>
                <w:color w:val="3E3A39"/>
                <w:sz w:val="17"/>
                <w:szCs w:val="22"/>
                <w:lang w:val="en-US" w:eastAsia="en-US" w:bidi="ar-SA"/>
              </w:rPr>
              <w:t>，具有抗肿瘤活性。</w:t>
            </w:r>
          </w:p>
        </w:tc>
      </w:tr>
    </w:tbl>
    <w:p>
      <w:pPr>
        <w:spacing w:before="312" w:after="0" w:line="236" w:lineRule="exact"/>
        <w:ind w:left="250" w:right="0" w:firstLine="0"/>
        <w:jc w:val="left"/>
        <w:rPr>
          <w:rFonts w:ascii="GLCHAQ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AKJHHN+SegoeUI-SemiBold" w:hAnsi="AKJHHN+SegoeUI-SemiBold" w:eastAsiaTheme="minorEastAsia" w:cs="AKJHHN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AKJHHN+SegoeUI-SemiBold" w:hAnsi="Calibri" w:eastAsiaTheme="minorEastAsia" w:cstheme="minorBidi"/>
          <w:b/>
          <w:color w:val="3E3A39"/>
          <w:spacing w:val="708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DNA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Alkylator</w:t>
      </w:r>
      <w:r>
        <w:rPr>
          <w:rFonts w:ascii="GLCHA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</w:p>
    <w:p>
      <w:pPr>
        <w:spacing w:before="304" w:after="0" w:line="237" w:lineRule="exact"/>
        <w:ind w:left="250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BAHP+AdobeHeitiStd-Regular-Identity-H" w:hAnsi="TCBAHP+AdobeHeitiStd-Regular-Identity-H" w:eastAsiaTheme="minorEastAsia" w:cs="TCBAHP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ascii="TCBAHP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deprive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function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complementary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strands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DNA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molecules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via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alkalization-induced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cross</w:t>
      </w:r>
    </w:p>
    <w:p>
      <w:pPr>
        <w:spacing w:before="35" w:after="0" w:line="236" w:lineRule="exact"/>
        <w:ind w:left="202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interaction,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2.5,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5,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exhibits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slight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inhibitory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</w:p>
    <w:p>
      <w:pPr>
        <w:spacing w:before="35" w:after="0" w:line="236" w:lineRule="exact"/>
        <w:ind w:left="202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Raji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but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potently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increases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DR4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DR5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mRNA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expression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Raji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</w:p>
    <w:p>
      <w:pPr>
        <w:spacing w:before="35" w:after="0" w:line="236" w:lineRule="exact"/>
        <w:ind w:left="202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necrosis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factor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(TNF)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related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inducing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ligand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(TRAIL,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synergistic</w:t>
      </w:r>
    </w:p>
    <w:p>
      <w:pPr>
        <w:spacing w:before="35" w:after="0" w:line="236" w:lineRule="exact"/>
        <w:ind w:left="202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Raji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GLCHA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265" w:after="0" w:line="275" w:lineRule="exact"/>
        <w:ind w:left="250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TCBAHP+AdobeHeitiStd-Regular-Identity-H" w:hAnsi="TCBAHP+AdobeHeitiStd-Regular-Identity-H" w:eastAsiaTheme="minorEastAsia" w:cs="TCBAHP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ascii="TCBAHP+AdobeHeitiStd-Regular-Identity-H" w:hAnsi="Calibri" w:eastAsiaTheme="minorEastAsia" w:cstheme="minorBidi"/>
          <w:color w:val="3E3A39"/>
          <w:spacing w:val="1053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(0.2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levamisole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has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enhanced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anti-cancer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Ehrlich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cr/>
      </w:r>
      <w:r>
        <w:rPr>
          <w:rFonts w:ascii="GLCHAQ+SegoeUI" w:hAnsi="Calibri" w:eastAsiaTheme="minorEastAsia" w:cstheme="minorBidi"/>
          <w:color w:val="3E3A39"/>
          <w:spacing w:val="172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ascites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carcinoma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which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elevates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Ehrlich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ascites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carcinoma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survival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However,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cr/>
      </w:r>
      <w:r>
        <w:rPr>
          <w:rFonts w:ascii="GLCHAQ+SegoeUI" w:hAnsi="Calibri" w:eastAsiaTheme="minorEastAsia" w:cstheme="minorBidi"/>
          <w:color w:val="3E3A39"/>
          <w:spacing w:val="172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exhibits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adverse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effects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liver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kidneys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GLCHA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AKJHHN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KJHHN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4" w:after="0" w:line="236" w:lineRule="exact"/>
        <w:ind w:left="260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AKJHHN+SegoeUI-SemiBold" w:hAnsi="Calibri" w:eastAsiaTheme="minorEastAsia" w:cstheme="minorBidi"/>
          <w:b/>
          <w:color w:val="3E3A39"/>
          <w:spacing w:val="767"/>
          <w:sz w:val="14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Cultured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log-growth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phase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digested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trypsin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single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suspension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1000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per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well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density.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placed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37°C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chamber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5%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</w:t>
      </w:r>
      <w:r>
        <w:rPr>
          <w:rFonts w:ascii="GLCHA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attached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24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h,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TRAIL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0,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80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ng/mL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at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0,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2.5,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and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AKJHHN+SegoeUI-SemiBold" w:eastAsiaTheme="minorEastAsia" w:cs="AKJHHN+SegoeUI-SemiBold"/>
          <w:b/>
          <w:color w:val="3E3A39"/>
          <w:sz w:val="17"/>
          <w:szCs w:val="22"/>
          <w:lang w:val="en-US" w:eastAsia="en-US" w:bidi="ar-SA"/>
        </w:rPr>
        <w:t>μM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48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μL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CCK-8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reagent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followed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incubation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37°C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h.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nm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then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measured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micro-plate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reader.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Six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parallel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samples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performed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rate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(%)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=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mean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experimental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group/mean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value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×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100%</w:t>
      </w:r>
      <w:r>
        <w:rPr>
          <w:rFonts w:ascii="GLCHA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GLCHAQ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AKJHHN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GLCHA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</w:p>
    <w:p>
      <w:pPr>
        <w:spacing w:before="0" w:after="0" w:line="271" w:lineRule="exact"/>
        <w:ind w:left="260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AKJHHN+SegoeUI-SemiBold" w:hAnsi="Calibri" w:eastAsiaTheme="minorEastAsia" w:cstheme="minorBidi"/>
          <w:b/>
          <w:color w:val="3E3A39"/>
          <w:spacing w:val="386"/>
          <w:sz w:val="14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Female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Swiss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mice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divided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randomly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five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(20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per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group).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kept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t>group,</w:t>
      </w:r>
      <w:r>
        <w:rPr>
          <w:rFonts w:ascii="GLCHAQ+SegoeUI" w:hAnsi="GLCHAQ+SegoeUI" w:eastAsiaTheme="minorEastAsia" w:cs="GLCHAQ+SegoeUI"/>
          <w:color w:val="3E3A39"/>
          <w:sz w:val="17"/>
          <w:szCs w:val="22"/>
          <w:lang w:val="en-US" w:eastAsia="en-US" w:bidi="ar-SA"/>
        </w:rPr>
        <w:cr/>
      </w:r>
      <w:r>
        <w:rPr>
          <w:rFonts w:ascii="GLCHAQ+SegoeUI" w:hAnsi="Calibri" w:eastAsiaTheme="minorEastAsia" w:cstheme="minorBidi"/>
          <w:color w:val="3E3A39"/>
          <w:spacing w:val="1744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intraperitoneal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injection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2.5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AKJHHN+SegoeUI-SemiBold" w:eastAsiaTheme="minorEastAsia" w:cs="AKJHHN+SegoeUI-SemiBold"/>
          <w:b/>
          <w:color w:val="3E3A39"/>
          <w:sz w:val="17"/>
          <w:szCs w:val="22"/>
          <w:lang w:val="en-US" w:eastAsia="en-US" w:bidi="ar-SA"/>
        </w:rPr>
        <w:t>×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AKJHHN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>6</w:t>
      </w:r>
      <w:r>
        <w:rPr>
          <w:rFonts w:ascii="AKJHHN+SegoeUI-SemiBold" w:hAnsi="Calibri" w:eastAsiaTheme="minorEastAsia" w:cstheme="minorBidi"/>
          <w:b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Ehrlich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ascites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carcinoma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Gropu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0.2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mg/kg</w:t>
      </w:r>
      <w:r>
        <w:rPr>
          <w:rFonts w:ascii="AKJHHN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levamisole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body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weight)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5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treated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orally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combination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Chlorambucil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levamisole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day,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bent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stainless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steel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stomach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tube</w:t>
      </w:r>
      <w:r>
        <w:rPr>
          <w:rFonts w:ascii="GLCHAQ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[2]</w:t>
      </w:r>
      <w:r>
        <w:rPr>
          <w:rFonts w:ascii="GLCHAQ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1" w:right="0" w:firstLine="0"/>
        <w:jc w:val="left"/>
        <w:rPr>
          <w:rFonts w:ascii="GLCHAQ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GLCHAQ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ascii="TCBAHP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TCBAHP+AdobeHeitiStd-Regular-Identity-H" w:hAnsi="TCBAHP+AdobeHeitiStd-Regular-Identity-H" w:eastAsiaTheme="minorEastAsia" w:cs="TCBAHP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873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780" w:right="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36" w:lineRule="exact"/>
        <w:ind w:left="250" w:right="0" w:firstLine="0"/>
        <w:jc w:val="left"/>
        <w:rPr>
          <w:rFonts w:ascii="IAGGCW+SegoeUI" w:hAnsi="Calibri"/>
          <w:color w:val="000000"/>
          <w:sz w:val="17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0" type="#_x0000_t75" style="width:553pt;height:3pt;margin-top:29pt;margin-left:29.5pt;mso-position-horizontal-relative:page;mso-position-vertical-relative:page;position:absolute;z-index:-251650048">
            <v:imagedata r:id="rId8" o:title=""/>
          </v:shape>
        </w:pict>
      </w:r>
      <w:bookmarkStart w:id="5" w:name="br1_4"/>
      <w:bookmarkEnd w:id="5"/>
      <w:r>
        <w:rPr>
          <w:noProof/>
        </w:rPr>
        <w:pict>
          <v:shape id="_x0000_s1031" type="#_x0000_t75" style="width:552.35pt;height:210.95pt;margin-top:34pt;margin-left:29.85pt;mso-position-horizontal-relative:page;mso-position-vertical-relative:page;position:absolute;z-index:-251651072">
            <v:imagedata r:id="rId9" o:title=""/>
          </v:shape>
        </w:pict>
      </w:r>
      <w:r>
        <w:rPr>
          <w:noProof/>
        </w:rPr>
        <w:pict>
          <v:shape id="_x0000_s1032" type="#_x0000_t75" style="width:3pt;height:3pt;margin-top:-1pt;margin-left:-1pt;mso-position-horizontal-relative:page;mso-position-vertical-relative:page;position:absolute;z-index:-251653120">
            <v:imagedata r:id="rId10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IAGGCW+SegoeUI" w:hAnsi="IAGGCW+SegoeUI" w:eastAsiaTheme="minorEastAsia" w:cs="IAGGCW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IAGGCW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Autoimmun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Apr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21:102465.</w:t>
      </w:r>
    </w:p>
    <w:p>
      <w:pPr>
        <w:spacing w:before="104" w:after="0" w:line="236" w:lineRule="exact"/>
        <w:ind w:left="250" w:right="0" w:firstLine="0"/>
        <w:jc w:val="left"/>
        <w:rPr>
          <w:rFonts w:ascii="IAGGCW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IAGGCW+SegoeUI" w:hAnsi="IAGGCW+SegoeUI" w:eastAsiaTheme="minorEastAsia" w:cs="IAGGCW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IAGGCW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UAROFA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(Berl)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Aug;97(8):1183-1193.</w:t>
      </w:r>
    </w:p>
    <w:p>
      <w:pPr>
        <w:spacing w:before="330" w:after="0" w:line="236" w:lineRule="exact"/>
        <w:ind w:left="0" w:right="0" w:firstLine="0"/>
        <w:jc w:val="left"/>
        <w:rPr>
          <w:rFonts w:ascii="IAGGCW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IAGGCW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11" w:history="1">
        <w:r>
          <w:rPr>
            <w:rFonts w:ascii="IAGGCW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UAROFA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UAROFA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17" w:after="0" w:line="255" w:lineRule="exact"/>
        <w:ind w:left="0" w:right="0" w:firstLine="0"/>
        <w:jc w:val="left"/>
        <w:rPr>
          <w:rFonts w:ascii="IAGGC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Guo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JX,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Synergistic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chlorambucil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TRAIL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apoptosis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proliferation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Raji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cells.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Eur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Rev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Med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Pharmacol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Sci.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IAGGCW+SegoeUI" w:eastAsiaTheme="minorEastAsia" w:cs="IAGGCW+SegoeUI"/>
          <w:color w:val="3E3A39"/>
          <w:sz w:val="16"/>
          <w:szCs w:val="22"/>
          <w:lang w:val="en-US" w:eastAsia="en-US" w:bidi="ar-SA"/>
        </w:rPr>
        <w:t>2017</w:t>
      </w:r>
      <w:r>
        <w:rPr>
          <w:rFonts w:ascii="IAGGCW+SegoeUI" w:hAnsi="IAGGCW+SegoeUI" w:eastAsiaTheme="minorEastAsia" w:cs="IAGGCW+SegoeUI"/>
          <w:color w:val="3E3A39"/>
          <w:sz w:val="16"/>
          <w:szCs w:val="22"/>
          <w:lang w:val="en-US" w:eastAsia="en-US" w:bidi="ar-SA"/>
        </w:rPr>
        <w:cr/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Oct;21(20):4703-4710.</w:t>
      </w:r>
    </w:p>
    <w:p>
      <w:pPr>
        <w:spacing w:before="202" w:after="0" w:line="223" w:lineRule="exact"/>
        <w:ind w:left="0" w:right="0" w:firstLine="0"/>
        <w:jc w:val="left"/>
        <w:rPr>
          <w:rFonts w:ascii="IAGGC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Salem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FS,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Biochemical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pathological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studies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effects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levamisole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chlorambucil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Ehrlich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ascites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carcinoma-bearing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mice.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Vet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Ital.</w:t>
      </w:r>
    </w:p>
    <w:p>
      <w:pPr>
        <w:spacing w:before="32" w:after="0" w:line="223" w:lineRule="exact"/>
        <w:ind w:left="0" w:right="0" w:firstLine="0"/>
        <w:jc w:val="left"/>
        <w:rPr>
          <w:rFonts w:ascii="IAGGCW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2011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IAGGCW+SegoeUI" w:hAnsi="Calibri" w:eastAsiaTheme="minorEastAsia" w:cstheme="minorBidi"/>
          <w:color w:val="3E3A39"/>
          <w:sz w:val="16"/>
          <w:szCs w:val="22"/>
          <w:lang w:val="en-US" w:eastAsia="en-US" w:bidi="ar-SA"/>
        </w:rPr>
        <w:t>Jan-Mar;47(1):89-95.</w:t>
      </w:r>
    </w:p>
    <w:p>
      <w:pPr>
        <w:spacing w:before="428" w:after="0" w:line="257" w:lineRule="exact"/>
        <w:ind w:left="0" w:right="0" w:firstLine="0"/>
        <w:jc w:val="left"/>
        <w:rPr>
          <w:rFonts w:ascii="IAGGCW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IAGGCW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1989" w:after="0" w:line="236" w:lineRule="exact"/>
        <w:ind w:left="1918" w:right="0" w:firstLine="0"/>
        <w:jc w:val="left"/>
        <w:rPr>
          <w:rFonts w:ascii="DLHBKR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DLHBKR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GSFVA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GSFVAB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GSFVAB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GSFVAB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GSFVAB+SegoeUI" w:hAnsi="GSFVAB+SegoeUI" w:eastAsiaTheme="minorEastAsia" w:cs="GSFVAB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GSFVAB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SQTPQI+AdobeHeitiStd-Regular-Identity-H" w:hAnsi="SQTPQI+AdobeHeitiStd-Regular-Identity-H" w:eastAsiaTheme="minorEastAsia" w:cs="SQTPQI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928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BIPLGV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PVBEDU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DDTDO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TCBAHP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GLCHAQ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AKJHHN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IAGGCW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UAROFA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DLHBKR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GSFVAB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SQTPQI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hyperlink" Target="www.MedChemExpress.cn" TargetMode="Externa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