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val="en-US" w:eastAsia="zh-CN"/>
        </w:rPr>
        <w:t>喜报：</w:t>
      </w:r>
      <w:r>
        <w:rPr>
          <w:rFonts w:hint="eastAsia" w:asciiTheme="minorEastAsia" w:hAnsiTheme="minorEastAsia" w:cstheme="minorEastAsia"/>
          <w:b/>
          <w:color w:val="auto"/>
          <w:sz w:val="24"/>
          <w:szCs w:val="24"/>
          <w:lang w:val="en-US" w:eastAsia="zh-CN"/>
        </w:rPr>
        <w:t>苑东生物</w:t>
      </w: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val="en-US" w:eastAsia="zh-CN"/>
        </w:rPr>
        <w:t>注射用尼可地尔</w:t>
      </w:r>
      <w:r>
        <w:rPr>
          <w:rFonts w:hint="eastAsia" w:asciiTheme="minorEastAsia" w:hAnsiTheme="minorEastAsia" w:cstheme="minorEastAsia"/>
          <w:b/>
          <w:color w:val="auto"/>
          <w:sz w:val="24"/>
          <w:szCs w:val="24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val="en-US" w:eastAsia="zh-CN"/>
        </w:rPr>
        <w:t>苏怩可</w:t>
      </w:r>
      <w:r>
        <w:rPr>
          <w:rFonts w:hint="eastAsia" w:asciiTheme="minorEastAsia" w:hAnsiTheme="minorEastAsia" w:cstheme="minorEastAsia"/>
          <w:b/>
          <w:color w:val="auto"/>
          <w:sz w:val="24"/>
          <w:szCs w:val="24"/>
          <w:lang w:val="en-US" w:eastAsia="zh-CN"/>
        </w:rPr>
        <w:t>）</w:t>
      </w: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</w:rPr>
        <w:t>获批上市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202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，苑东生物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心脑血管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治疗领域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再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添新成员，苏怩可®注射用尼可地尔获批上市。</w:t>
      </w:r>
    </w:p>
    <w:p>
      <w:pPr>
        <w:pStyle w:val="7"/>
        <w:numPr>
          <w:ilvl w:val="0"/>
          <w:numId w:val="1"/>
        </w:numPr>
        <w:ind w:firstLineChars="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产品介绍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苏怩可®注射用尼可地尔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适应症：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不稳定型</w:t>
      </w:r>
      <w:bookmarkStart w:id="0" w:name="OLE_LINK1"/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心绞痛</w:t>
      </w:r>
      <w:bookmarkEnd w:id="0"/>
    </w:p>
    <w:p>
      <w:pPr>
        <w:pStyle w:val="7"/>
        <w:numPr>
          <w:ilvl w:val="0"/>
          <w:numId w:val="1"/>
        </w:numPr>
        <w:ind w:firstLineChars="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作用机制</w:t>
      </w:r>
    </w:p>
    <w:p>
      <w:pPr>
        <w:pStyle w:val="7"/>
        <w:numPr>
          <w:ilvl w:val="-1"/>
          <w:numId w:val="0"/>
        </w:numPr>
        <w:ind w:left="0" w:firstLine="480" w:firstLineChars="20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苏怩可®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是独特KATP离子通道开放与类硝酸酯的</w:t>
      </w:r>
      <w:bookmarkStart w:id="1" w:name="OLE_LINK3"/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双重扩血管作用</w:t>
      </w:r>
      <w:bookmarkEnd w:id="1"/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eastAsia="zh-CN"/>
        </w:rPr>
        <w:t>，同时具备心脏保护机制。</w:t>
      </w:r>
    </w:p>
    <w:p>
      <w:pPr>
        <w:pStyle w:val="7"/>
        <w:numPr>
          <w:ilvl w:val="0"/>
          <w:numId w:val="1"/>
        </w:numPr>
        <w:ind w:firstLineChars="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产品优势</w:t>
      </w:r>
    </w:p>
    <w:p>
      <w:pPr>
        <w:numPr>
          <w:ilvl w:val="0"/>
          <w:numId w:val="2"/>
        </w:numPr>
        <w:ind w:left="0" w:firstLine="480" w:firstLineChars="20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首个用于临床的ATP敏感的钾离子通道开放剂：促进一氧化氮释放，降低细胞内钙离子水平，舒张血管平滑肌，降低心脏前后负荷以及心肌耗氧量</w:t>
      </w:r>
    </w:p>
    <w:p>
      <w:pPr>
        <w:numPr>
          <w:ilvl w:val="0"/>
          <w:numId w:val="2"/>
        </w:numPr>
        <w:ind w:left="0" w:firstLine="480" w:firstLineChars="20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有效改善心肌缺血症状，缓解心绞痛：双重冠状动脉扩张作用，缓解冠状动脉痉挛，显著增加冠状动脉血流量，减轻心肌缺血，改善胸痛症状</w:t>
      </w:r>
    </w:p>
    <w:p>
      <w:pPr>
        <w:numPr>
          <w:ilvl w:val="0"/>
          <w:numId w:val="2"/>
        </w:numPr>
        <w:ind w:left="0" w:firstLine="480" w:firstLineChars="20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微血管性心绞痛首选用药：持续改善预后，降低包括</w:t>
      </w:r>
      <w:bookmarkStart w:id="2" w:name="OLE_LINK4"/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冠心病死亡</w:t>
      </w:r>
      <w:bookmarkEnd w:id="2"/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、非致死性心肌梗死以及心源性胸痛计划外住院事件的发生率</w:t>
      </w:r>
    </w:p>
    <w:p>
      <w:pPr>
        <w:numPr>
          <w:ilvl w:val="0"/>
          <w:numId w:val="2"/>
        </w:numPr>
        <w:ind w:left="0" w:firstLine="480" w:firstLineChars="20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有效治疗心力衰竭：对由缺血性心肌病、扩张性心肌病、瓣膜性心脏病、高血压性心脏病等各种原因引起的心力衰竭患者的LVEF、PCWP和SVR方面，获得较好的疗效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删除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）</w:t>
      </w:r>
    </w:p>
    <w:p>
      <w:pPr>
        <w:numPr>
          <w:ilvl w:val="0"/>
          <w:numId w:val="2"/>
        </w:numPr>
        <w:ind w:left="0" w:firstLine="480" w:firstLineChars="20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PCI围手术期常规用药：作为急性冠状动脉综合征患者抗心肌缺血的首选治疗药物之一，显著降低心血管病死率及充血性心力衰竭发生率</w:t>
      </w:r>
    </w:p>
    <w:p>
      <w:pPr>
        <w:pStyle w:val="7"/>
        <w:numPr>
          <w:ilvl w:val="0"/>
          <w:numId w:val="1"/>
        </w:numPr>
        <w:ind w:firstLineChars="0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市场前景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《中国心血管健康与疾病报告 2020》显示，中国心血管病现患人数约3.3亿，其中冠心病1139万。尼可地尔具有双重扩血管作用，广泛用于不稳定型心绞痛患者。</w:t>
      </w:r>
    </w:p>
    <w:p>
      <w:pPr>
        <w:ind w:firstLine="480" w:firstLineChars="200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米内网城市公立医院全国放大版数据显示，注射用尼可地尔2023年（预估）市场规模约9.4亿元。</w:t>
      </w:r>
    </w:p>
    <w:p>
      <w:pPr>
        <w:ind w:firstLine="480" w:firstLineChars="200"/>
        <w:jc w:val="center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5264785" cy="2553970"/>
            <wp:effectExtent l="0" t="0" r="12065" b="17780"/>
            <wp:docPr id="1" name="图片 1" descr="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5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center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lang w:val="en-US" w:eastAsia="zh-CN"/>
        </w:rPr>
        <w:t>苏怩可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vertAlign w:val="superscript"/>
        </w:rPr>
        <w:t>®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vertAlign w:val="baseline"/>
          <w:lang w:val="en-US" w:eastAsia="zh-CN"/>
        </w:rPr>
        <w:t>注射用尼可地尔推广方向</w:t>
      </w:r>
    </w:p>
    <w:p>
      <w:pPr>
        <w:ind w:firstLine="480" w:firstLineChars="200"/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主要聚焦心内科、心外科、急诊科，适用于心绞痛患者，并改善其预后。苏怩可®注射用尼可地尔的上市将成为心血管病患者的新选择。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7"/>
        <w:numPr>
          <w:ilvl w:val="0"/>
          <w:numId w:val="1"/>
        </w:numPr>
        <w:ind w:firstLineChars="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lang w:val="en-US" w:eastAsia="zh-CN"/>
        </w:rPr>
        <w:t>苏怩可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vertAlign w:val="superscript"/>
        </w:rPr>
        <w:t>®</w:t>
      </w:r>
      <w:r>
        <w:rPr>
          <w:rFonts w:hint="eastAsia" w:asciiTheme="minorEastAsia" w:hAnsiTheme="minorEastAsia" w:eastAsiaTheme="minorEastAsia" w:cstheme="minorEastAsia"/>
          <w:b w:val="0"/>
          <w:color w:val="auto"/>
          <w:sz w:val="24"/>
          <w:szCs w:val="24"/>
          <w:vertAlign w:val="baseline"/>
        </w:rPr>
        <w:t>注射用尼可地尔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vertAlign w:val="baseline"/>
        </w:rPr>
        <w:t>指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南共识推荐</w:t>
      </w:r>
    </w:p>
    <w:p>
      <w:pPr>
        <w:pStyle w:val="7"/>
        <w:numPr>
          <w:ilvl w:val="0"/>
          <w:numId w:val="0"/>
        </w:numPr>
        <w:ind w:left="420" w:leftChars="0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尼可地尔用于心绞痛治疗推荐</w:t>
      </w:r>
    </w:p>
    <w:tbl>
      <w:tblPr>
        <w:tblStyle w:val="4"/>
        <w:tblW w:w="867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5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7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指南名称</w:t>
            </w:r>
          </w:p>
        </w:tc>
        <w:tc>
          <w:tcPr>
            <w:tcW w:w="5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推荐信息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27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  <w:t>心绞痛个性化治疗的“钻石”方法专家共识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》</w:t>
            </w:r>
          </w:p>
        </w:tc>
        <w:tc>
          <w:tcPr>
            <w:tcW w:w="5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  <w:t>①使用尼可地尔治疗可显著降低心血管死亡终点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  <w:t>②当心率较低(≤50-55bpm)时，禁用减慢心率的药物。应该优先使用二氢吡啶类钙通道阻滞剂、硝酸盐类药物或尼可地尔，因为上述药物可通过唤起交感神经反射来增加心率。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27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《欧洲心脏病协会慢性冠状动脉综合征指南》</w:t>
            </w:r>
          </w:p>
        </w:tc>
        <w:tc>
          <w:tcPr>
            <w:tcW w:w="5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对β受体阻滞剂、钙通道拮抗剂、长效硝酸酯类不耐受、禁忌或不能充分控制症状的患者，应考虑尼可地尔、雷诺嗪、伊伐布雷定或曲美他嗪作为二线治疗，降低心绞痛发作频率以及改善运动耐量。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27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《冠状动脉微血管疾病诊断和治疗的中国专家共识》</w:t>
            </w:r>
          </w:p>
        </w:tc>
        <w:tc>
          <w:tcPr>
            <w:tcW w:w="5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尼可地尔是微血管性心绞痛的首选用药。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27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《高血压合理用药指南（第2版）》</w:t>
            </w:r>
          </w:p>
        </w:tc>
        <w:tc>
          <w:tcPr>
            <w:tcW w:w="5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尼可地尔可用于治疗稳定性冠心病、冠状动脉微血管病变及冠状动脉痉挛。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27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《冠心病合理用药指南(第2版)》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9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尼可地尔作为抗心肌缺血的首选治疗药物之一。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在缓解心绞痛症状以及 ACS的治疗选择中，静脉应用尼可地尔比口服尼可地尔更为有效，可有效控制各类心绞痛症状，尤其是微血管性心绞痛。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 w:bidi="ar"/>
              </w:rPr>
              <w:t>尼可地尔可有效改善各类心绞痛症状。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color w:val="auto"/>
          <w:sz w:val="24"/>
          <w:szCs w:val="28"/>
        </w:rPr>
      </w:pPr>
    </w:p>
    <w:p>
      <w:pPr>
        <w:pStyle w:val="7"/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</w:p>
    <w:p>
      <w:pPr>
        <w:pStyle w:val="7"/>
        <w:numPr>
          <w:ilvl w:val="0"/>
          <w:numId w:val="1"/>
        </w:numPr>
        <w:ind w:firstLineChars="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苏怩可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vertAlign w:val="superscript"/>
        </w:rPr>
        <w:t>®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简要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说明书</w:t>
      </w:r>
    </w:p>
    <w:p>
      <w:pP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【适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应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症】</w:t>
      </w:r>
    </w:p>
    <w:p>
      <w:pP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不稳定型心绞痛</w:t>
      </w:r>
    </w:p>
    <w:p>
      <w:pP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【规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格】</w:t>
      </w:r>
    </w:p>
    <w:p>
      <w:pPr>
        <w:ind w:firstLine="240" w:firstLineChars="100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12mg</w:t>
      </w:r>
    </w:p>
    <w:p>
      <w:pP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【用法用量】</w:t>
      </w:r>
    </w:p>
    <w:p>
      <w:pP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将本品溶于 0.9%氯化钠注射液或 5％葡萄糖注射液中制成 0.01%～0.03%溶液。成人静脉滴注，以 2mg/小时为起始剂量，可根据症状适当增减剂量，最大剂量不超过 6mg/小时。</w:t>
      </w: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T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180A2A1"/>
    <w:multiLevelType w:val="singleLevel"/>
    <w:tmpl w:val="D180A2A1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38F6749E"/>
    <w:multiLevelType w:val="multilevel"/>
    <w:tmpl w:val="38F6749E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4MmJiYzgxZjQwYWE2YTEzYzJiZDUwNjRjMWZlYjMifQ=="/>
  </w:docVars>
  <w:rsids>
    <w:rsidRoot w:val="5C553ED7"/>
    <w:rsid w:val="0132783D"/>
    <w:rsid w:val="015A5A6D"/>
    <w:rsid w:val="01CE3A0A"/>
    <w:rsid w:val="01EC3E90"/>
    <w:rsid w:val="0518526D"/>
    <w:rsid w:val="055A5762"/>
    <w:rsid w:val="05F759DF"/>
    <w:rsid w:val="06074925"/>
    <w:rsid w:val="06726BEC"/>
    <w:rsid w:val="067A2A01"/>
    <w:rsid w:val="06FF35B1"/>
    <w:rsid w:val="093B63AC"/>
    <w:rsid w:val="09646A02"/>
    <w:rsid w:val="0AD656DD"/>
    <w:rsid w:val="0C176237"/>
    <w:rsid w:val="0E060087"/>
    <w:rsid w:val="0E2C21E4"/>
    <w:rsid w:val="0E8042DE"/>
    <w:rsid w:val="0F0C746F"/>
    <w:rsid w:val="0FA52927"/>
    <w:rsid w:val="11733C86"/>
    <w:rsid w:val="12D2266A"/>
    <w:rsid w:val="14351CA7"/>
    <w:rsid w:val="149F280B"/>
    <w:rsid w:val="15192D96"/>
    <w:rsid w:val="15DA2525"/>
    <w:rsid w:val="15FB05B0"/>
    <w:rsid w:val="162F7ACF"/>
    <w:rsid w:val="18784278"/>
    <w:rsid w:val="19276AFB"/>
    <w:rsid w:val="197930F7"/>
    <w:rsid w:val="1A355B24"/>
    <w:rsid w:val="1A917C5B"/>
    <w:rsid w:val="1DD13720"/>
    <w:rsid w:val="1F5410F6"/>
    <w:rsid w:val="22471449"/>
    <w:rsid w:val="22671B5F"/>
    <w:rsid w:val="231352C9"/>
    <w:rsid w:val="231774AE"/>
    <w:rsid w:val="23E9602A"/>
    <w:rsid w:val="247947F5"/>
    <w:rsid w:val="26526108"/>
    <w:rsid w:val="26B2504E"/>
    <w:rsid w:val="28F74D45"/>
    <w:rsid w:val="29B82726"/>
    <w:rsid w:val="2A675835"/>
    <w:rsid w:val="2AD938DC"/>
    <w:rsid w:val="2D4D3693"/>
    <w:rsid w:val="2DC07DFB"/>
    <w:rsid w:val="2F8D5077"/>
    <w:rsid w:val="2FC130E0"/>
    <w:rsid w:val="3163741B"/>
    <w:rsid w:val="330B38C7"/>
    <w:rsid w:val="356C080A"/>
    <w:rsid w:val="35DC59EE"/>
    <w:rsid w:val="36203B2D"/>
    <w:rsid w:val="38AB2B6D"/>
    <w:rsid w:val="394556BA"/>
    <w:rsid w:val="3989035D"/>
    <w:rsid w:val="3A527139"/>
    <w:rsid w:val="3A9F4F70"/>
    <w:rsid w:val="3CB12DE7"/>
    <w:rsid w:val="3D3819BD"/>
    <w:rsid w:val="3DB86D41"/>
    <w:rsid w:val="3E1877DF"/>
    <w:rsid w:val="40061729"/>
    <w:rsid w:val="43254F77"/>
    <w:rsid w:val="43A86F10"/>
    <w:rsid w:val="445F0AB7"/>
    <w:rsid w:val="45A9083D"/>
    <w:rsid w:val="47F40975"/>
    <w:rsid w:val="4D2D4FC4"/>
    <w:rsid w:val="4F702FD7"/>
    <w:rsid w:val="4FD03922"/>
    <w:rsid w:val="50133394"/>
    <w:rsid w:val="517E4D1E"/>
    <w:rsid w:val="529D7C1C"/>
    <w:rsid w:val="538C738A"/>
    <w:rsid w:val="53F8637C"/>
    <w:rsid w:val="564104D7"/>
    <w:rsid w:val="59030A18"/>
    <w:rsid w:val="5A1153B7"/>
    <w:rsid w:val="5A123F3E"/>
    <w:rsid w:val="5BCD355F"/>
    <w:rsid w:val="5BE4607E"/>
    <w:rsid w:val="5C0D1BAE"/>
    <w:rsid w:val="5C553ED7"/>
    <w:rsid w:val="5CF10BF1"/>
    <w:rsid w:val="5D434890"/>
    <w:rsid w:val="5E47588F"/>
    <w:rsid w:val="5E5E289A"/>
    <w:rsid w:val="5E69219B"/>
    <w:rsid w:val="5F1020E1"/>
    <w:rsid w:val="61483DB4"/>
    <w:rsid w:val="619F599E"/>
    <w:rsid w:val="61DA61FE"/>
    <w:rsid w:val="63554566"/>
    <w:rsid w:val="64833BCA"/>
    <w:rsid w:val="65A308BF"/>
    <w:rsid w:val="65BB0AC4"/>
    <w:rsid w:val="66C30A88"/>
    <w:rsid w:val="67AC671F"/>
    <w:rsid w:val="67D46461"/>
    <w:rsid w:val="6A4470E3"/>
    <w:rsid w:val="6B9C3CAA"/>
    <w:rsid w:val="6C7C0DB6"/>
    <w:rsid w:val="733E5017"/>
    <w:rsid w:val="734F5398"/>
    <w:rsid w:val="753A2DB3"/>
    <w:rsid w:val="75E654F2"/>
    <w:rsid w:val="76574F12"/>
    <w:rsid w:val="7694316B"/>
    <w:rsid w:val="78120820"/>
    <w:rsid w:val="79D6782C"/>
    <w:rsid w:val="7D4274B2"/>
    <w:rsid w:val="7DAF3BCD"/>
    <w:rsid w:val="7FCD4339"/>
    <w:rsid w:val="7FD96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font11"/>
    <w:basedOn w:val="6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9">
    <w:name w:val="font21"/>
    <w:basedOn w:val="6"/>
    <w:qFormat/>
    <w:uiPriority w:val="0"/>
    <w:rPr>
      <w:rFonts w:hint="default" w:ascii="Arial" w:hAnsi="Arial" w:cs="Arial"/>
      <w:color w:val="262626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1580</Words>
  <Characters>1709</Characters>
  <Lines>0</Lines>
  <Paragraphs>0</Paragraphs>
  <TotalTime>2</TotalTime>
  <ScaleCrop>false</ScaleCrop>
  <LinksUpToDate>false</LinksUpToDate>
  <CharactersWithSpaces>1722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2023-09-20T07:27:00Z</dcterms:created>
  <dc:creator>220236</dc:creator>
  <cp:lastModifiedBy>220236</cp:lastModifiedBy>
  <dcterms:modified xsi:type="dcterms:W3CDTF">2024-03-27T09:12:17Z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A3A9BD7352BE41289FE373AB2C59B4CF_13</vt:lpwstr>
  </property>
</Properties>
</file>