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C4A487">
      <w:pPr>
        <w:pStyle w:val="145"/>
        <w:rPr>
          <w:lang w:eastAsia="zh-CN"/>
        </w:rPr>
      </w:pPr>
      <w:bookmarkStart w:id="0" w:name="_Toc453597319"/>
      <w:bookmarkStart w:id="1" w:name="_Toc481801204"/>
      <w:bookmarkStart w:id="2" w:name="OLE_LINK15"/>
      <w:bookmarkStart w:id="3" w:name="_Toc415818939"/>
      <w:bookmarkStart w:id="4" w:name="_Toc517262917"/>
      <w:bookmarkStart w:id="5" w:name="OLE_LINK13"/>
      <w:bookmarkStart w:id="6" w:name="_Toc418070112"/>
      <w:bookmarkStart w:id="7" w:name="_Toc415143481"/>
      <w:bookmarkStart w:id="8" w:name="_Toc438987549"/>
      <w:bookmarkStart w:id="9" w:name="_Toc415142861"/>
      <w:bookmarkStart w:id="10" w:name="OLE_LINK40"/>
      <w:bookmarkStart w:id="11" w:name="OLE_LINK39"/>
      <w:bookmarkStart w:id="12" w:name="OLE_LINK24"/>
      <w:r>
        <w:drawing>
          <wp:inline distT="0" distB="0" distL="114300" distR="114300">
            <wp:extent cx="6184265" cy="4396105"/>
            <wp:effectExtent l="0" t="0" r="6985" b="444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84265" cy="4396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3" w:name="_GoBack"/>
      <w:bookmarkEnd w:id="13"/>
      <w:r>
        <w:rPr>
          <w:rFonts w:hint="eastAsia"/>
          <w:lang w:eastAsia="zh-CN"/>
        </w:rPr>
        <w:t>根据QYResearch最新调研报告显示，预计2</w:t>
      </w:r>
      <w:r>
        <w:rPr>
          <w:lang w:eastAsia="zh-CN"/>
        </w:rPr>
        <w:t>030</w:t>
      </w:r>
      <w:r>
        <w:rPr>
          <w:rFonts w:hint="eastAsia"/>
          <w:lang w:eastAsia="zh-CN"/>
        </w:rPr>
        <w:t>年全球双腔透析导管市场规模将达到</w:t>
      </w:r>
      <w:r>
        <w:rPr>
          <w:lang w:eastAsia="zh-CN"/>
        </w:rPr>
        <w:t>19.18</w:t>
      </w:r>
      <w:r>
        <w:rPr>
          <w:rFonts w:hint="eastAsia"/>
          <w:lang w:eastAsia="zh-CN"/>
        </w:rPr>
        <w:t>亿美元，未来几年年复合增长率CAGR为</w:t>
      </w:r>
      <w:r>
        <w:rPr>
          <w:lang w:eastAsia="zh-CN"/>
        </w:rPr>
        <w:t>6.2</w:t>
      </w:r>
      <w:r>
        <w:rPr>
          <w:rFonts w:hint="eastAsia"/>
          <w:lang w:eastAsia="zh-CN"/>
        </w:rPr>
        <w:t>%。</w:t>
      </w:r>
    </w:p>
    <w:p w14:paraId="12FD9BEF">
      <w:pPr>
        <w:pStyle w:val="145"/>
        <w:rPr>
          <w:lang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76200</wp:posOffset>
            </wp:positionH>
            <wp:positionV relativeFrom="paragraph">
              <wp:posOffset>1784985</wp:posOffset>
            </wp:positionV>
            <wp:extent cx="3400425" cy="3012440"/>
            <wp:effectExtent l="0" t="0" r="9525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400425" cy="3012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eastAsia="zh-CN"/>
        </w:rPr>
        <w:t>双腔透析导管是一种专用于血液透析或血液净化治疗的医用导管，其设计特点是具有两条独立通道（腔体），一条用于血液引出，一条用于血液回输，从而实现体外循环血液的高效交换。该导管通常由生物相容性高、柔韧性良好的医用聚氨酯或硅胶材料制成，表面经过抗凝涂层处理以减少血栓形成。导管端部常配有软质导向尖端和双腔出口，便于在静脉中定位和稳定固定，同时减少血管损伤。双腔透析导管可分为中心静脉置入型和周围静脉置入型，广泛应用于慢性肾衰竭、急性肾损伤及血液净化患者的长期或短期透析治疗中。其特点包括易于置入、血流量大、耐久性强且可重复使用于多次透析，能够保证血液净化过程中血液的连续流动和安全性，是血液透析治疗体系中的关键耗材。</w:t>
      </w:r>
    </w:p>
    <w:p w14:paraId="5829DD63">
      <w:pPr>
        <w:pStyle w:val="145"/>
        <w:rPr>
          <w:rFonts w:hint="eastAsia"/>
          <w:lang w:eastAsia="zh-CN"/>
        </w:rPr>
      </w:pPr>
    </w:p>
    <w:p w14:paraId="408D02AC"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双腔透析导管市场呈现稳定增长趋势，主要受全球慢性肾病患者数量增加、人口老龄化及透析治疗普及率提升驱动。发达国家市场趋于成熟，产品更强调高端功能，如抗菌涂层、长留置周期及高流量设计，而发展中国家仍存在明显替代空间和价格敏感型需求。国产厂商在材料改性、生产工艺和成本控制方面逐步追赶国际品牌，未来有望在中低端市场快速渗透，同时借助政策支持和医保覆盖提升市场占有率。下游需求呈现集中化趋势，大型医院和透析连锁机构成为主要采购主体，这对供应链稳定性和服务能力提出更高要求。</w:t>
      </w:r>
    </w:p>
    <w:p w14:paraId="15AE97D4">
      <w:pPr>
        <w:pStyle w:val="145"/>
        <w:rPr>
          <w:lang w:eastAsia="zh-CN"/>
        </w:rPr>
      </w:pPr>
      <w:r>
        <w:rPr>
          <w:rFonts w:hint="eastAsia"/>
          <w:lang w:eastAsia="zh-CN"/>
        </w:rPr>
        <w:t>综合来看，双腔透析导管不仅具有稳定的基本医疗需求支撑，还存在高端功能升级、国产替代及新兴市场扩张的多重增长点，行业竞争将从单纯价格竞争转向技术、服务和品牌综合能力的比拼。</w:t>
      </w:r>
    </w:p>
    <w:p w14:paraId="1FE39FC5"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双腔透析导管发展的驱动因素主要来自患者需求、技术进步和政策环境的多重推动。</w:t>
      </w:r>
    </w:p>
    <w:p w14:paraId="7A751630"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首先，慢性肾脏病和终末期肾病患者数量持续增长，血液透析治疗需求稳步上升，为双腔透析导管市场提供了刚性支撑。</w:t>
      </w:r>
    </w:p>
    <w:p w14:paraId="78E13688"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其次，医疗技术的进步推动导管材料和设计不断优化，高生物相容性聚氨酯和硅胶材料、抗凝涂层及低血栓设计提高了导管安全性和使用寿命，同时降低了并发症风险，增强了临床接受度。</w:t>
      </w:r>
    </w:p>
    <w:p w14:paraId="72F5EC6D"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再次，医疗机构对血液透析效率和患者舒适性的要求不断提高，促使导管向高血流量、低感染率和便于置入操作方向发展。</w:t>
      </w:r>
    </w:p>
    <w:p w14:paraId="5F7BF686"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此外，全球及区域医疗政策对慢性肾病防治、血液透析覆盖率的提高，以及医保支付体系对透析耗材的支持，也在一定程度上刺激市场需求。</w:t>
      </w:r>
    </w:p>
    <w:p w14:paraId="12AF009A"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最后，医疗技术推广、医院专业培训及患者教育的普及，使得双腔透析导管的应用范围和渗透率逐步扩大，为行业发展提供了持续动力。</w:t>
      </w:r>
    </w:p>
    <w:p w14:paraId="2A9BFC0B">
      <w:pPr>
        <w:pStyle w:val="145"/>
        <w:rPr>
          <w:lang w:eastAsia="zh-CN"/>
        </w:rPr>
      </w:pPr>
      <w:r>
        <w:rPr>
          <w:rFonts w:hint="eastAsia"/>
          <w:lang w:eastAsia="zh-CN"/>
        </w:rPr>
        <w:t>全球范围内，双腔透析导管主要生产商包括</w:t>
      </w:r>
      <w:r>
        <w:rPr>
          <w:lang w:eastAsia="zh-CN"/>
        </w:rPr>
        <w:t>BALTON</w:t>
      </w:r>
      <w:r>
        <w:rPr>
          <w:rFonts w:hint="eastAsia"/>
          <w:lang w:eastAsia="zh-CN"/>
        </w:rPr>
        <w:t>、</w:t>
      </w:r>
      <w:r>
        <w:rPr>
          <w:lang w:eastAsia="zh-CN"/>
        </w:rPr>
        <w:t>SCW Medicath</w:t>
      </w:r>
      <w:r>
        <w:rPr>
          <w:rFonts w:hint="eastAsia"/>
          <w:lang w:eastAsia="zh-CN"/>
        </w:rPr>
        <w:t>、</w:t>
      </w:r>
      <w:r>
        <w:rPr>
          <w:lang w:eastAsia="zh-CN"/>
        </w:rPr>
        <w:t>AMECATH</w:t>
      </w:r>
      <w:r>
        <w:rPr>
          <w:rFonts w:hint="eastAsia"/>
          <w:lang w:eastAsia="zh-CN"/>
        </w:rPr>
        <w:t>、</w:t>
      </w:r>
      <w:r>
        <w:rPr>
          <w:lang w:eastAsia="zh-CN"/>
        </w:rPr>
        <w:t>St. Stone Medical Devices</w:t>
      </w:r>
      <w:r>
        <w:rPr>
          <w:rFonts w:hint="eastAsia"/>
          <w:lang w:eastAsia="zh-CN"/>
        </w:rPr>
        <w:t>、</w:t>
      </w:r>
      <w:r>
        <w:rPr>
          <w:lang w:eastAsia="zh-CN"/>
        </w:rPr>
        <w:t>Becton Dickinson</w:t>
      </w:r>
      <w:r>
        <w:rPr>
          <w:rFonts w:hint="eastAsia"/>
          <w:lang w:eastAsia="zh-CN"/>
        </w:rPr>
        <w:t>、</w:t>
      </w:r>
      <w:r>
        <w:rPr>
          <w:lang w:eastAsia="zh-CN"/>
        </w:rPr>
        <w:t>AdvinHealthcare</w:t>
      </w:r>
      <w:r>
        <w:rPr>
          <w:rFonts w:hint="eastAsia"/>
          <w:lang w:eastAsia="zh-CN"/>
        </w:rPr>
        <w:t>、</w:t>
      </w:r>
      <w:r>
        <w:rPr>
          <w:lang w:eastAsia="zh-CN"/>
        </w:rPr>
        <w:t>Mozarc Medical</w:t>
      </w:r>
      <w:r>
        <w:rPr>
          <w:rFonts w:hint="eastAsia"/>
          <w:lang w:eastAsia="zh-CN"/>
        </w:rPr>
        <w:t>、</w:t>
      </w:r>
      <w:r>
        <w:rPr>
          <w:lang w:eastAsia="zh-CN"/>
        </w:rPr>
        <w:t>Shubham Corporation</w:t>
      </w:r>
      <w:r>
        <w:rPr>
          <w:rFonts w:hint="eastAsia"/>
          <w:lang w:eastAsia="zh-CN"/>
        </w:rPr>
        <w:t>、广东昊朗医疗科技有限责任公司、</w:t>
      </w:r>
      <w:r>
        <w:rPr>
          <w:lang w:eastAsia="zh-CN"/>
        </w:rPr>
        <w:t>Health Line</w:t>
      </w:r>
      <w:r>
        <w:rPr>
          <w:rFonts w:hint="eastAsia"/>
          <w:lang w:eastAsia="zh-CN"/>
        </w:rPr>
        <w:t>、深圳市天可医疗科技有限公司、</w:t>
      </w:r>
      <w:r>
        <w:rPr>
          <w:lang w:eastAsia="zh-CN"/>
        </w:rPr>
        <w:t>DSX MED</w:t>
      </w:r>
      <w:r>
        <w:rPr>
          <w:rFonts w:hint="eastAsia"/>
          <w:lang w:eastAsia="zh-CN"/>
        </w:rPr>
        <w:t>、</w:t>
      </w:r>
      <w:r>
        <w:rPr>
          <w:lang w:eastAsia="zh-CN"/>
        </w:rPr>
        <w:t>AdvaCare Pharma</w:t>
      </w:r>
      <w:r>
        <w:rPr>
          <w:rFonts w:hint="eastAsia"/>
          <w:lang w:eastAsia="zh-CN"/>
        </w:rPr>
        <w:t>、广东百合医疗科技股份有限公司、</w:t>
      </w:r>
      <w:r>
        <w:rPr>
          <w:lang w:eastAsia="zh-CN"/>
        </w:rPr>
        <w:t>Wehere Medical</w:t>
      </w:r>
      <w:r>
        <w:rPr>
          <w:rFonts w:hint="eastAsia"/>
          <w:lang w:eastAsia="zh-CN"/>
        </w:rPr>
        <w:t>、</w:t>
      </w:r>
      <w:r>
        <w:rPr>
          <w:lang w:eastAsia="zh-CN"/>
        </w:rPr>
        <w:t>Vygon</w:t>
      </w:r>
      <w:r>
        <w:rPr>
          <w:rFonts w:hint="eastAsia"/>
          <w:lang w:eastAsia="zh-CN"/>
        </w:rPr>
        <w:t>、</w:t>
      </w:r>
      <w:r>
        <w:rPr>
          <w:lang w:eastAsia="zh-CN"/>
        </w:rPr>
        <w:t>STS Medical</w:t>
      </w:r>
      <w:r>
        <w:rPr>
          <w:rFonts w:hint="eastAsia"/>
          <w:lang w:eastAsia="zh-CN"/>
        </w:rPr>
        <w:t>、</w:t>
      </w:r>
      <w:r>
        <w:rPr>
          <w:lang w:eastAsia="zh-CN"/>
        </w:rPr>
        <w:t>Cardiomac</w:t>
      </w:r>
      <w:r>
        <w:rPr>
          <w:rFonts w:hint="eastAsia"/>
          <w:lang w:eastAsia="zh-CN"/>
        </w:rPr>
        <w:t>等。</w:t>
      </w:r>
    </w:p>
    <w:p w14:paraId="72D4F9F2"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双腔透析导管产业链主要包含以下几个方面：</w:t>
      </w:r>
    </w:p>
    <w:p w14:paraId="6F85AC3A"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上游核心——原材料与精密部件供应。</w:t>
      </w:r>
    </w:p>
    <w:p w14:paraId="762D1BE3"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产业链的起点是高度专业化的原材料与零部件制造。这一环节的技术壁垒和材料学要求极高，直接决定了产品的核心性能。医用级聚氨酯和硅胶是制造导管管体的主流材料，它们需要具备优异的生物相容性、抗折性、柔顺性和射线不透性（便于X光显影）。尖端设计（如分体式尖端或阶梯式尖端）和管壁构造（如抗扭结螺旋加强筋）所需的精密模具和高纯度聚合物也是关键。此外，肝素涂层或其他抗凝抗菌涂层的原料供应、导管末端的鲁尔接头（连接头）、用于固定的缝合翼以及导丝、扩张器等配套手术器械的制造，共同构成了稳固的上游产业基础。上游的竞争核心在于材料的创新（如新型抗感染材料）和精密加工能力。</w:t>
      </w:r>
    </w:p>
    <w:p w14:paraId="3B93C62E"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中游主体——导管的设计、生产与灭菌。</w:t>
      </w:r>
    </w:p>
    <w:p w14:paraId="2F26B026"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这是产业链的价值创造核心，由医疗器械制造商主导。企业将上游的原材料和部件，通过复杂精密的工艺转化为最终产品。产品设计是首要环节，工程师需根据临床需求（如导管留置时间、血流量要求）设计管腔结构（“D”型双腔防血液回流）、尖端造型、侧孔位置以及抗感染方案。生产过程高度自动化且要求无菌，涉及挤出成型、管体装配、尖端成型、涂层涂覆、激光打标、最终组装等多个精密步骤。完成组装后，产品必须经过严格的灭菌流程（常用环氧乙烷或辐照灭菌），并经过品控检测，确保其无菌、无热原、功能完好。最后，产品进入包装与标识环节，准备进入流通领域。中游是技术、资本和法规准入壁垒最集中的部分，头部企业凭借强大的研发、生产质控体系和专利布局形成护城河。</w:t>
      </w:r>
    </w:p>
    <w:p w14:paraId="7A4068AF"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下游流通——分销、物流与终端医疗应用。</w:t>
      </w:r>
    </w:p>
    <w:p w14:paraId="13FCFB56"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产业链的下游负责将成品安全、高效地交付至临床一线。分销与物流是关键桥梁，大型医疗器械分销商、物流公司（需具备医疗器械储运资质）或制造商的直销团队，通过严控的冷链或常温物流网络，将导管配送至各级医院的中心仓库。终端应用场景是产业链价值的最终实现点，主要集中于医院的肾内科、血管外科或介入放射科。临床医生根据患者病情（急性或慢性肾衰竭、血管条件等），在手术室或介入导管室进行置管操作。导管在此承担了挽救生命的核心功能——建立稳定的血液通路，将患者血液引出体外，经过透析机净化后再回输体内。医院采购部门的选择、临床医生的使用习惯和反馈，构成了对上游和中游最直接的驱动力量。</w:t>
      </w:r>
    </w:p>
    <w:p w14:paraId="6B42CC29"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全域支撑——法规监管、研发与临床服务。</w:t>
      </w:r>
    </w:p>
    <w:p w14:paraId="3B2E5865">
      <w:pPr>
        <w:pStyle w:val="145"/>
        <w:rPr>
          <w:lang w:eastAsia="zh-CN"/>
        </w:rPr>
      </w:pPr>
      <w:r>
        <w:rPr>
          <w:rFonts w:hint="eastAsia"/>
          <w:lang w:eastAsia="zh-CN"/>
        </w:rPr>
        <w:t>这条纵向产业链的每一个环节都嵌在一个强大的横向支撑体系中。法规监管是最重要的外部框架，全球主要市场（如美国FDA、中国NMPA、欧盟CE）对透析导管作为第三类高风险医疗器械实行全生命周期监管，从产品注册、临床试验、生产质量体系（如GMP）到上市后监督和不良事件报告，无一不需严格合规。研发与临床合作是创新的引擎，制造商与大学、研究机构和临床中心紧密合作，共同推动导管在抗感染、抗血栓、长期通畅性以及置入技术（如超声引导） 等方面的进步。此外，专业的临床培训与技术支持团队，负责教育医护人员正确使用产品，处理临床问题，这一服务环节对于产品成功和市场渗透至关重要。</w:t>
      </w:r>
    </w:p>
    <w:p w14:paraId="348DC985"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双腔透析导管的竞争格局主要呈现以下特点：</w:t>
      </w:r>
    </w:p>
    <w:p w14:paraId="3E78C9DC"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区域市场差异化：</w:t>
      </w:r>
    </w:p>
    <w:p w14:paraId="3AE4CEE5"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北美和欧洲市场：在这些发达市场，患者对治疗效果和舒适度的要求较高，技术创新和高品质产品占据主导地位。同时，这些地区的医疗保险支付体系较为完善，有助于推广高端、高价的医疗产品。</w:t>
      </w:r>
    </w:p>
    <w:p w14:paraId="76E1F616"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亚太和拉美市场：这些地区的市场竞争主要集中在价格与基本功能上。由于透析治疗普及率逐渐提高，更多本土企业积极进入市场，提供价格较为低廉但可靠的双腔透析导管，力图通过性价比获得市场份额。</w:t>
      </w:r>
    </w:p>
    <w:p w14:paraId="55AAB475"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总体竞争格局：</w:t>
      </w:r>
    </w:p>
    <w:p w14:paraId="07A95001"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双腔透析导管市场竞争激烈，全球市场由少数几家大型医疗器械公司主导，但随着市场需求的增长，新兴企业和地区品牌的参与逐渐增多，带来了更多创新和价格竞争。主要竞争者包括一些跨国医疗器械巨头，他们凭借强大的研发能力、全球化的销售网络以及较高的市场占有率占据主导地位。然而，随着各国对慢性肾病患者治疗的重视，特别是在发展中国家和新兴市场中，对价格敏感型和定制化需求的逐步增加，本土品牌和小型创新公司也正在积极抢占市场份额。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6E0980">
    <w:pPr>
      <w:pStyle w:val="21"/>
      <w:jc w:val="center"/>
    </w:pPr>
    <w:r>
      <w:t>Copyright © QYResearch | market@qyresearch.com | www.qyresearch.com.cn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EBBC53"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65371B16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3360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65371B16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 w14:paraId="02A48211">
    <w:pPr>
      <w:pStyle w:val="22"/>
      <w:pBdr>
        <w:bottom w:val="none" w:color="auto" w:sz="0" w:space="0"/>
      </w:pBdr>
      <w:jc w:val="both"/>
    </w:pPr>
  </w:p>
  <w:p w14:paraId="7C1E6558">
    <w:pPr>
      <w:pStyle w:val="22"/>
      <w:pBdr>
        <w:bottom w:val="none" w:color="auto" w:sz="0" w:space="0"/>
      </w:pBdr>
      <w:jc w:val="both"/>
    </w:pPr>
  </w:p>
  <w:p w14:paraId="3522D064">
    <w:pPr>
      <w:pStyle w:val="22"/>
      <w:pBdr>
        <w:bottom w:val="none" w:color="auto" w:sz="0" w:space="0"/>
      </w:pBdr>
      <w:jc w:val="both"/>
    </w:pPr>
  </w:p>
  <w:p w14:paraId="0E6B6DFD"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839A2F"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5168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86DDD5"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48D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8A7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462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9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9F4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821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3B1"/>
    <w:rsid w:val="00080816"/>
    <w:rsid w:val="00080CA5"/>
    <w:rsid w:val="0008130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7B8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136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664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146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CA5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D72"/>
    <w:rsid w:val="000C7F08"/>
    <w:rsid w:val="000C7FD2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C0E"/>
    <w:rsid w:val="000E2D99"/>
    <w:rsid w:val="000E2F79"/>
    <w:rsid w:val="000E307E"/>
    <w:rsid w:val="000E31B6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DCE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6D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C6C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5F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14C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30F"/>
    <w:rsid w:val="00174813"/>
    <w:rsid w:val="00174928"/>
    <w:rsid w:val="00174B47"/>
    <w:rsid w:val="00175134"/>
    <w:rsid w:val="00175245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B20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6E10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09C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87A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D3F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EE8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6E8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439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06"/>
    <w:rsid w:val="00273040"/>
    <w:rsid w:val="002731F2"/>
    <w:rsid w:val="002731F3"/>
    <w:rsid w:val="00273367"/>
    <w:rsid w:val="00273524"/>
    <w:rsid w:val="00273736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3DC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9EE"/>
    <w:rsid w:val="002B1A3C"/>
    <w:rsid w:val="002B1CB6"/>
    <w:rsid w:val="002B1CDF"/>
    <w:rsid w:val="002B23E5"/>
    <w:rsid w:val="002B248B"/>
    <w:rsid w:val="002B24B5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10A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86A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505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05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4FD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0E4"/>
    <w:rsid w:val="003915D3"/>
    <w:rsid w:val="00391663"/>
    <w:rsid w:val="0039166F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A67"/>
    <w:rsid w:val="00395B56"/>
    <w:rsid w:val="00395B81"/>
    <w:rsid w:val="00395D9C"/>
    <w:rsid w:val="003960C1"/>
    <w:rsid w:val="003963AE"/>
    <w:rsid w:val="003963D5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530"/>
    <w:rsid w:val="003A796E"/>
    <w:rsid w:val="003A7A9B"/>
    <w:rsid w:val="003B021D"/>
    <w:rsid w:val="003B03C2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A5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B7E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3CA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7FE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670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17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A42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82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9A1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193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6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922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054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2C19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E5D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1AC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5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65F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35F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75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A3A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BD4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84F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3BE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8C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223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26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839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155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3CC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5B9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5DA8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4F40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757"/>
    <w:rsid w:val="007D7AFB"/>
    <w:rsid w:val="007D7C57"/>
    <w:rsid w:val="007D7CCC"/>
    <w:rsid w:val="007D7CFD"/>
    <w:rsid w:val="007D7EDC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810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254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2E4F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E94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118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28D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7BB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59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5EA9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C11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6F2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EE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7F0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938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868"/>
    <w:rsid w:val="00990950"/>
    <w:rsid w:val="00990D2B"/>
    <w:rsid w:val="00990E2A"/>
    <w:rsid w:val="00990EF5"/>
    <w:rsid w:val="00991157"/>
    <w:rsid w:val="00991265"/>
    <w:rsid w:val="0099161D"/>
    <w:rsid w:val="00991A07"/>
    <w:rsid w:val="00991DA2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4ED"/>
    <w:rsid w:val="009939DE"/>
    <w:rsid w:val="00993B09"/>
    <w:rsid w:val="00993B2B"/>
    <w:rsid w:val="00993B71"/>
    <w:rsid w:val="00993F7B"/>
    <w:rsid w:val="009940CC"/>
    <w:rsid w:val="00994210"/>
    <w:rsid w:val="009943D4"/>
    <w:rsid w:val="00994490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473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19A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561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327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22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20F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AD7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729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04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066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30E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19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899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3D4F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41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2E7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27E95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634"/>
    <w:rsid w:val="00C6570E"/>
    <w:rsid w:val="00C65A91"/>
    <w:rsid w:val="00C66228"/>
    <w:rsid w:val="00C6632B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64C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CF0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5F58"/>
    <w:rsid w:val="00CA6016"/>
    <w:rsid w:val="00CA6097"/>
    <w:rsid w:val="00CA624B"/>
    <w:rsid w:val="00CA698E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BD9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4E71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0B3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4E5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0F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2F0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0A2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925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DE2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48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3F86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29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0FD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374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59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283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1FFF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24C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6E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3A84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C7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3F9F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8D6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9F5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1A2"/>
    <w:rsid w:val="00F9426D"/>
    <w:rsid w:val="00F942BF"/>
    <w:rsid w:val="00F9436D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8B7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3C4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72DF6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出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目录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清单表 2 - 着色 41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清单表 1 浅色 - 着色 1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清单表 2 - 着色 21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网格表 21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网格表 2 - 着色 41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网格表 2 - 着色 51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清单表 2 - 着色 51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清单表 1 浅色 - 着色 51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  <customShpInfo spid="_x0000_s2056"/>
    <customShpInfo spid="_x0000_s205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C92FDAD-3847-4903-9E35-98AC908D138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3324</Words>
  <Characters>3581</Characters>
  <Lines>25</Lines>
  <Paragraphs>7</Paragraphs>
  <TotalTime>10</TotalTime>
  <ScaleCrop>false</ScaleCrop>
  <LinksUpToDate>false</LinksUpToDate>
  <CharactersWithSpaces>3594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2026-01-23T09:02:00Z</dcterms:created>
  <dc:creator>yangj</dc:creator>
  <cp:lastModifiedBy>鼕鼕</cp:lastModifiedBy>
  <dcterms:modified xsi:type="dcterms:W3CDTF">2026-02-05T09:10:25Z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eyJoZGlkIjoiMjFmNGNlNTgxMTU0YzBhMjY3NTRmNDcyYjNlZTNhMDciLCJ1c2VySWQiOiI0MzI5MTg4NDMifQ==</vt:lpwstr>
  </property>
  <property fmtid="{D5CDD505-2E9C-101B-9397-08002B2CF9AE}" pid="3" name="KSOProductBuildVer">
    <vt:lpwstr>2052-12.1.0.24657</vt:lpwstr>
  </property>
  <property fmtid="{D5CDD505-2E9C-101B-9397-08002B2CF9AE}" pid="4" name="ICV">
    <vt:lpwstr>554C943B0FE1417CA39860778D884BEA_12</vt:lpwstr>
  </property>
</Properties>
</file>