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16EB5D">
      <w:pPr>
        <w:pStyle w:val="167"/>
        <w:rPr>
          <w:lang w:eastAsia="zh-CN"/>
        </w:rPr>
      </w:pPr>
      <w:bookmarkStart w:id="0" w:name="_Toc517262917"/>
      <w:bookmarkStart w:id="1" w:name="_Toc453597319"/>
      <w:bookmarkStart w:id="2" w:name="_Toc438987549"/>
      <w:bookmarkStart w:id="3" w:name="_Toc481801204"/>
      <w:bookmarkStart w:id="4" w:name="OLE_LINK15"/>
      <w:bookmarkStart w:id="5" w:name="_Toc415142861"/>
      <w:bookmarkStart w:id="6" w:name="OLE_LINK13"/>
      <w:bookmarkStart w:id="7" w:name="_Toc415818939"/>
      <w:bookmarkStart w:id="8" w:name="_Toc418070112"/>
      <w:bookmarkStart w:id="9" w:name="OLE_LINK40"/>
      <w:bookmarkStart w:id="10" w:name="OLE_LINK39"/>
      <w:bookmarkStart w:id="11" w:name="OLE_LINK24"/>
      <w:bookmarkStart w:id="12" w:name="_Toc415143481"/>
      <w:r>
        <w:drawing>
          <wp:inline distT="0" distB="0" distL="114300" distR="114300">
            <wp:extent cx="6184265" cy="4177030"/>
            <wp:effectExtent l="0" t="0" r="6985"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6184265" cy="4177030"/>
                    </a:xfrm>
                    <a:prstGeom prst="rect">
                      <a:avLst/>
                    </a:prstGeom>
                    <a:noFill/>
                    <a:ln>
                      <a:noFill/>
                    </a:ln>
                  </pic:spPr>
                </pic:pic>
              </a:graphicData>
            </a:graphic>
          </wp:inline>
        </w:drawing>
      </w:r>
      <w:r>
        <w:rPr>
          <w:lang w:eastAsia="zh-CN"/>
        </w:rPr>
        <w:t>纸板隔板</w:t>
      </w:r>
      <w:r>
        <w:rPr>
          <w:rFonts w:hint="eastAsia"/>
          <w:lang w:eastAsia="zh-CN"/>
        </w:rPr>
        <w:t>产品介绍</w:t>
      </w:r>
    </w:p>
    <w:p w14:paraId="106910C8">
      <w:pPr>
        <w:rPr>
          <w:color w:val="0D0D0D" w:themeColor="text1" w:themeTint="F2"/>
          <w:kern w:val="0"/>
          <w:szCs w:val="22"/>
          <w:lang w:val="en-IN"/>
          <w14:textFill>
            <w14:solidFill>
              <w14:schemeClr w14:val="tx1">
                <w14:lumMod w14:val="95000"/>
                <w14:lumOff w14:val="5000"/>
              </w14:schemeClr>
            </w14:solidFill>
          </w14:textFill>
        </w:rPr>
      </w:pPr>
      <w:r>
        <w:rPr>
          <w:rFonts w:hint="eastAsia"/>
          <w:color w:val="0D0D0D" w:themeColor="text1" w:themeTint="F2"/>
          <w:kern w:val="0"/>
          <w:szCs w:val="22"/>
          <w:lang w:val="en-IN"/>
          <w14:textFill>
            <w14:solidFill>
              <w14:schemeClr w14:val="tx1">
                <w14:lumMod w14:val="95000"/>
                <w14:lumOff w14:val="5000"/>
              </w14:schemeClr>
            </w14:solidFill>
          </w14:textFill>
        </w:rPr>
        <w:t>纸板隔板是一种成型或模切的纸板插片，用于包装内部，在搬运和运输过程中分隔、缓冲和稳定多个物品（例如瓶子、罐子、电子产品或组件）。它通常设计成网格状隔板或互锁式插片，形成独立的隔间，有助于防止表面磨损、冲击损坏和产品间的直接接触，同时提高包装密度和运输完整性。</w:t>
      </w:r>
    </w:p>
    <w:p w14:paraId="1975A8CC">
      <w:pPr>
        <w:keepNext/>
        <w:keepLines/>
        <w:pBdr>
          <w:bottom w:val="single" w:color="auto" w:sz="4" w:space="1"/>
        </w:pBdr>
        <w:tabs>
          <w:tab w:val="left" w:pos="284"/>
        </w:tabs>
        <w:spacing w:before="240" w:after="120"/>
        <w:ind w:left="357" w:hanging="357"/>
        <w:jc w:val="left"/>
        <w:rPr>
          <w:rFonts w:cs="Arial"/>
          <w:b/>
          <w:color w:val="FF8200"/>
          <w:kern w:val="0"/>
          <w:szCs w:val="22"/>
        </w:rPr>
      </w:pPr>
      <w:bookmarkStart w:id="13" w:name="_Hlk178522117"/>
      <w:r>
        <w:rPr>
          <w:rFonts w:hint="eastAsia" w:cs="Arial"/>
          <w:b/>
          <w:color w:val="FF8200"/>
          <w:kern w:val="0"/>
          <w:szCs w:val="22"/>
        </w:rPr>
        <w:t>图. 纸板隔板图片</w:t>
      </w:r>
      <w:bookmarkEnd w:id="13"/>
    </w:p>
    <w:p w14:paraId="73094561">
      <w:pPr>
        <w:widowControl/>
        <w:topLinePunct w:val="0"/>
        <w:spacing w:before="320" w:after="80" w:line="259" w:lineRule="auto"/>
        <w:rPr>
          <w:i/>
          <w:iCs/>
          <w:color w:val="0D0D0D" w:themeColor="text1" w:themeTint="F2"/>
          <w:kern w:val="0"/>
          <w:sz w:val="15"/>
          <w:szCs w:val="16"/>
          <w14:textFill>
            <w14:solidFill>
              <w14:schemeClr w14:val="tx1">
                <w14:lumMod w14:val="95000"/>
                <w14:lumOff w14:val="5000"/>
              </w14:schemeClr>
            </w14:solidFill>
          </w14:textFill>
        </w:rPr>
      </w:pPr>
      <w:r>
        <w:rPr>
          <w:rFonts w:hint="eastAsia"/>
        </w:rPr>
        <w:drawing>
          <wp:inline distT="0" distB="0" distL="0" distR="0">
            <wp:extent cx="2341245" cy="1562100"/>
            <wp:effectExtent l="0" t="0" r="1905" b="0"/>
            <wp:docPr id="88983104" name="图片 2" descr="Corrugated Partitions | General Parti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83104" name="图片 2" descr="Corrugated Partitions | General Partitio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374741" cy="1584055"/>
                    </a:xfrm>
                    <a:prstGeom prst="rect">
                      <a:avLst/>
                    </a:prstGeom>
                    <a:noFill/>
                    <a:ln>
                      <a:noFill/>
                    </a:ln>
                  </pic:spPr>
                </pic:pic>
              </a:graphicData>
            </a:graphic>
          </wp:inline>
        </w:drawing>
      </w:r>
    </w:p>
    <w:p w14:paraId="71096DF5">
      <w:pPr>
        <w:widowControl/>
        <w:topLinePunct w:val="0"/>
        <w:spacing w:before="320" w:after="80" w:line="259" w:lineRule="auto"/>
        <w:rPr>
          <w:i/>
          <w:iCs/>
          <w:color w:val="0D0D0D" w:themeColor="text1" w:themeTint="F2"/>
          <w:kern w:val="0"/>
          <w:sz w:val="15"/>
          <w:szCs w:val="16"/>
          <w14:textFill>
            <w14:solidFill>
              <w14:schemeClr w14:val="tx1">
                <w14:lumMod w14:val="95000"/>
                <w14:lumOff w14:val="5000"/>
              </w14:schemeClr>
            </w14:solidFill>
          </w14:textFill>
        </w:rPr>
      </w:pPr>
      <w:r>
        <w:rPr>
          <w:rFonts w:hint="eastAsia"/>
          <w:i/>
          <w:iCs/>
          <w:color w:val="0D0D0D" w:themeColor="text1" w:themeTint="F2"/>
          <w:kern w:val="0"/>
          <w:sz w:val="15"/>
          <w:szCs w:val="16"/>
          <w14:textFill>
            <w14:solidFill>
              <w14:schemeClr w14:val="tx1">
                <w14:lumMod w14:val="95000"/>
                <w14:lumOff w14:val="5000"/>
              </w14:schemeClr>
            </w14:solidFill>
          </w14:textFill>
        </w:rPr>
        <w:t>资料来源：第三方资料及QYResearch整理</w:t>
      </w:r>
    </w:p>
    <w:p w14:paraId="435E3011">
      <w:pPr>
        <w:pStyle w:val="145"/>
        <w:rPr>
          <w:lang w:eastAsia="zh-CN"/>
        </w:rPr>
      </w:pPr>
      <w:r>
        <w:rPr>
          <w:rFonts w:hint="eastAsia"/>
          <w:lang w:eastAsia="zh-CN"/>
        </w:rPr>
        <w:t>据QYResearch调研团队最新报告“全球纸板隔板市场报告2026-2032”显示，预计2032年全球纸板隔板市场规模将达到11亿美元，未来几年年复合增长率CAGR为3.5%。</w:t>
      </w:r>
    </w:p>
    <w:p w14:paraId="3F6C2722">
      <w:pPr>
        <w:pStyle w:val="148"/>
        <w:numPr>
          <w:ilvl w:val="0"/>
          <w:numId w:val="0"/>
        </w:numPr>
        <w:rPr>
          <w:lang w:eastAsia="zh-CN"/>
        </w:rPr>
      </w:pPr>
      <w:r>
        <w:rPr>
          <w:lang w:eastAsia="zh-CN"/>
        </w:rPr>
        <w:t>纸板隔板</w:t>
      </w:r>
      <w:r>
        <w:rPr>
          <w:rFonts w:hint="eastAsia"/>
          <w:lang w:eastAsia="zh-CN"/>
        </w:rPr>
        <w:t>，全球市场总体规模</w:t>
      </w:r>
    </w:p>
    <w:p w14:paraId="33261207">
      <w:pPr>
        <w:pStyle w:val="145"/>
      </w:pPr>
      <w:r>
        <w:drawing>
          <wp:inline distT="0" distB="0" distL="0" distR="0">
            <wp:extent cx="6188710" cy="2938780"/>
            <wp:effectExtent l="0" t="0" r="2540" b="0"/>
            <wp:docPr id="438851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85101" name="图片 1"/>
                    <pic:cNvPicPr>
                      <a:picLocks noChangeAspect="1"/>
                    </pic:cNvPicPr>
                  </pic:nvPicPr>
                  <pic:blipFill>
                    <a:blip r:embed="rId11"/>
                    <a:stretch>
                      <a:fillRect/>
                    </a:stretch>
                  </pic:blipFill>
                  <pic:spPr>
                    <a:xfrm>
                      <a:off x="0" y="0"/>
                      <a:ext cx="6188710" cy="2938780"/>
                    </a:xfrm>
                    <a:prstGeom prst="rect">
                      <a:avLst/>
                    </a:prstGeom>
                  </pic:spPr>
                </pic:pic>
              </a:graphicData>
            </a:graphic>
          </wp:inline>
        </w:drawing>
      </w:r>
    </w:p>
    <w:p w14:paraId="12FD9BEF">
      <w:pPr>
        <w:pStyle w:val="143"/>
        <w:rPr>
          <w:lang w:eastAsia="zh-CN"/>
        </w:rPr>
      </w:pPr>
      <w:r>
        <w:rPr>
          <w:rFonts w:hint="eastAsia"/>
          <w:lang w:eastAsia="zh-CN"/>
        </w:rPr>
        <w:t>来源：QYResearch, 行业处于不断变动之中，最新数据请联系QYResearch咨询。</w:t>
      </w:r>
    </w:p>
    <w:p w14:paraId="720E31E2">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rFonts w:hint="eastAsia"/>
          <w:lang w:eastAsia="zh-CN"/>
        </w:rPr>
        <w:t>全球</w:t>
      </w:r>
      <w:r>
        <w:rPr>
          <w:lang w:eastAsia="zh-CN"/>
        </w:rPr>
        <w:t>纸板隔板</w:t>
      </w:r>
      <w:r>
        <w:rPr>
          <w:rFonts w:hint="eastAsia"/>
          <w:lang w:eastAsia="zh-CN"/>
        </w:rPr>
        <w:t>市场前12强生产商排名及市场占有率（基于2025年调研数据；目前最新数据以本公司最新调研数据为准）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drawing>
          <wp:inline distT="0" distB="0" distL="0" distR="0">
            <wp:extent cx="4114165" cy="5999480"/>
            <wp:effectExtent l="0" t="0" r="635" b="1270"/>
            <wp:docPr id="7920927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092740" name="图片 1"/>
                    <pic:cNvPicPr>
                      <a:picLocks noChangeAspect="1"/>
                    </pic:cNvPicPr>
                  </pic:nvPicPr>
                  <pic:blipFill>
                    <a:blip r:embed="rId12"/>
                    <a:stretch>
                      <a:fillRect/>
                    </a:stretch>
                  </pic:blipFill>
                  <pic:spPr>
                    <a:xfrm>
                      <a:off x="0" y="0"/>
                      <a:ext cx="4114286" cy="6000000"/>
                    </a:xfrm>
                    <a:prstGeom prst="rect">
                      <a:avLst/>
                    </a:prstGeom>
                  </pic:spPr>
                </pic:pic>
              </a:graphicData>
            </a:graphic>
          </wp:inline>
        </w:drawing>
      </w:r>
    </w:p>
    <w:p w14:paraId="34AB6364">
      <w:pPr>
        <w:pStyle w:val="143"/>
        <w:rPr>
          <w:lang w:eastAsia="zh-CN"/>
        </w:rPr>
      </w:pPr>
      <w:r>
        <w:rPr>
          <w:rFonts w:hint="eastAsia"/>
          <w:lang w:eastAsia="zh-CN"/>
        </w:rPr>
        <w:t>来源：QYResearch, 行业处于不断变动之中，最新数据请联系QYResearch咨询。</w:t>
      </w:r>
    </w:p>
    <w:p w14:paraId="0398A8B3">
      <w:pPr>
        <w:pStyle w:val="143"/>
        <w:rPr>
          <w:i w:val="0"/>
          <w:sz w:val="21"/>
          <w:lang w:eastAsia="zh-CN"/>
        </w:rPr>
      </w:pPr>
      <w:r>
        <w:rPr>
          <w:rFonts w:hint="eastAsia"/>
          <w:i w:val="0"/>
          <w:sz w:val="21"/>
          <w:lang w:eastAsia="zh-CN"/>
        </w:rPr>
        <w:t>根据QYResearch头部企业研究中心调研，全球范围内纸板隔板生产商主要包括Smurfit WestRock、International paper、DS Smith plc、Mondi、Stora Enso、Sonoco、Bradford Company、M &amp; M Box Partitions、Multicell Packaging Inc.、Estic-Maillot Packaging Group等。主要的纸板隔板制造商集中在北美、西欧/中欧以及东亚和南亚，这些地区成熟的食品、饮料和电子商务包装需求、强大的纸浆/纸张供应链、先进的加工/印刷能力以及完善的物流和可持续发展驱动的法规，为该行业创造了成本、创新和增长的条件。</w:t>
      </w:r>
    </w:p>
    <w:p w14:paraId="7E19C953">
      <w:pPr>
        <w:pStyle w:val="151"/>
        <w:numPr>
          <w:ilvl w:val="0"/>
          <w:numId w:val="0"/>
        </w:numPr>
        <w:rPr>
          <w:lang w:eastAsia="zh-CN"/>
        </w:rPr>
      </w:pPr>
      <w:r>
        <w:rPr>
          <w:rFonts w:hint="eastAsia"/>
          <w:lang w:eastAsia="zh-CN"/>
        </w:rPr>
        <w:t xml:space="preserve">表1 </w:t>
      </w:r>
      <w:r>
        <w:rPr>
          <w:lang w:eastAsia="zh-CN"/>
        </w:rPr>
        <w:t>纸板隔板产业链分析</w:t>
      </w:r>
    </w:p>
    <w:tbl>
      <w:tblPr>
        <w:tblStyle w:val="43"/>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717"/>
        <w:gridCol w:w="2757"/>
        <w:gridCol w:w="6488"/>
      </w:tblGrid>
      <w:tr w14:paraId="1AB5A2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360" w:type="pct"/>
            <w:shd w:val="solid" w:color="000080" w:fill="FFFFFF"/>
            <w:vAlign w:val="center"/>
          </w:tcPr>
          <w:p w14:paraId="3E4D731B">
            <w:pPr>
              <w:rPr>
                <w:rFonts w:cs="Times New Roman"/>
                <w:b w:val="0"/>
                <w:bCs w:val="0"/>
                <w:color w:val="FFFFFF"/>
                <w:kern w:val="0"/>
                <w:sz w:val="20"/>
                <w:szCs w:val="20"/>
              </w:rPr>
            </w:pPr>
          </w:p>
        </w:tc>
        <w:tc>
          <w:tcPr>
            <w:tcW w:w="1384" w:type="pct"/>
            <w:shd w:val="solid" w:color="000080" w:fill="FFFFFF"/>
            <w:vAlign w:val="center"/>
          </w:tcPr>
          <w:p w14:paraId="3C45B9B0">
            <w:pPr>
              <w:rPr>
                <w:rFonts w:cs="Times New Roman"/>
                <w:b w:val="0"/>
                <w:bCs w:val="0"/>
                <w:color w:val="FFFFFF"/>
                <w:kern w:val="0"/>
                <w:sz w:val="20"/>
                <w:szCs w:val="20"/>
              </w:rPr>
            </w:pPr>
            <w:r>
              <w:rPr>
                <w:rFonts w:hint="eastAsia" w:cs="Times New Roman"/>
                <w:b/>
                <w:bCs/>
                <w:color w:val="FFFFFF"/>
                <w:kern w:val="0"/>
                <w:sz w:val="20"/>
                <w:szCs w:val="20"/>
              </w:rPr>
              <w:t>产业</w:t>
            </w:r>
          </w:p>
        </w:tc>
        <w:tc>
          <w:tcPr>
            <w:tcW w:w="3256" w:type="pct"/>
            <w:shd w:val="solid" w:color="000080" w:fill="FFFFFF"/>
            <w:vAlign w:val="center"/>
          </w:tcPr>
          <w:p w14:paraId="59F15779">
            <w:pPr>
              <w:rPr>
                <w:rFonts w:cs="Times New Roman"/>
                <w:b w:val="0"/>
                <w:bCs w:val="0"/>
                <w:color w:val="FFFFFF"/>
                <w:kern w:val="0"/>
                <w:sz w:val="20"/>
                <w:szCs w:val="20"/>
              </w:rPr>
            </w:pPr>
            <w:r>
              <w:rPr>
                <w:rFonts w:hint="eastAsia" w:cs="Times New Roman"/>
                <w:b/>
                <w:bCs/>
                <w:color w:val="FFFFFF"/>
                <w:kern w:val="0"/>
                <w:sz w:val="20"/>
                <w:szCs w:val="20"/>
              </w:rPr>
              <w:t>描述</w:t>
            </w:r>
          </w:p>
        </w:tc>
      </w:tr>
      <w:tr w14:paraId="6B1BD0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360" w:type="pct"/>
            <w:vMerge w:val="restart"/>
            <w:shd w:val="clear" w:color="auto" w:fill="auto"/>
            <w:vAlign w:val="center"/>
          </w:tcPr>
          <w:p w14:paraId="29DAC817">
            <w:pPr>
              <w:rPr>
                <w:rFonts w:cs="Times New Roman"/>
                <w:b/>
                <w:bCs/>
                <w:kern w:val="0"/>
                <w:sz w:val="20"/>
                <w:szCs w:val="20"/>
              </w:rPr>
            </w:pPr>
            <w:r>
              <w:rPr>
                <w:rFonts w:hint="eastAsia" w:cs="Times New Roman"/>
                <w:kern w:val="0"/>
                <w:sz w:val="20"/>
                <w:szCs w:val="20"/>
              </w:rPr>
              <w:t>上游</w:t>
            </w:r>
          </w:p>
        </w:tc>
        <w:tc>
          <w:tcPr>
            <w:tcW w:w="1384" w:type="pct"/>
            <w:shd w:val="clear" w:color="auto" w:fill="auto"/>
            <w:vAlign w:val="top"/>
          </w:tcPr>
          <w:p w14:paraId="493AF565">
            <w:pPr>
              <w:rPr>
                <w:rFonts w:cs="Times New Roman"/>
                <w:kern w:val="0"/>
                <w:sz w:val="20"/>
                <w:szCs w:val="20"/>
              </w:rPr>
            </w:pPr>
            <w:r>
              <w:rPr>
                <w:rFonts w:hint="eastAsia" w:cs="Times New Roman"/>
                <w:kern w:val="0"/>
                <w:sz w:val="20"/>
                <w:szCs w:val="20"/>
              </w:rPr>
              <w:t>核心原材料</w:t>
            </w:r>
          </w:p>
        </w:tc>
        <w:tc>
          <w:tcPr>
            <w:tcW w:w="3256" w:type="pct"/>
            <w:shd w:val="clear" w:color="auto" w:fill="auto"/>
            <w:vAlign w:val="top"/>
          </w:tcPr>
          <w:p w14:paraId="75E4F1C4">
            <w:pPr>
              <w:rPr>
                <w:rFonts w:cs="Times New Roman"/>
                <w:kern w:val="0"/>
                <w:sz w:val="20"/>
                <w:szCs w:val="20"/>
              </w:rPr>
            </w:pPr>
            <w:r>
              <w:rPr>
                <w:rFonts w:hint="eastAsia" w:cs="Times New Roman"/>
                <w:kern w:val="0"/>
                <w:sz w:val="20"/>
                <w:szCs w:val="20"/>
              </w:rPr>
              <w:t>包括基材纸张（瓦楞原纸、牛皮衬板、测试衬板及再生纸——再生纸因符合环保要求而被广泛采用，作为主要原料提供刚性、缓冲性和结构强度），粘合剂（淀粉基、水性环保粘合剂及白色乳胶，用于粘合纸板层与隔板组件，确保牢固粘合的同时满足低挥发性有机化合物及可回收标准）， 以及辅助材料（标记用印刷油墨、机械固定用订书钉、临时固定用胶带、增强隔板边缘耐久性的护角）。</w:t>
            </w:r>
          </w:p>
        </w:tc>
      </w:tr>
      <w:tr w14:paraId="484C2C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360" w:type="pct"/>
            <w:vMerge w:val="continue"/>
            <w:shd w:val="clear" w:color="auto" w:fill="auto"/>
            <w:vAlign w:val="center"/>
          </w:tcPr>
          <w:p w14:paraId="16C1208A">
            <w:pPr>
              <w:rPr>
                <w:rFonts w:hint="eastAsia" w:cs="Times New Roman"/>
                <w:kern w:val="0"/>
                <w:sz w:val="20"/>
                <w:szCs w:val="20"/>
              </w:rPr>
            </w:pPr>
          </w:p>
        </w:tc>
        <w:tc>
          <w:tcPr>
            <w:tcW w:w="1384" w:type="pct"/>
            <w:shd w:val="clear" w:color="auto" w:fill="auto"/>
            <w:vAlign w:val="top"/>
          </w:tcPr>
          <w:p w14:paraId="0A0A0B6E">
            <w:pPr>
              <w:rPr>
                <w:rFonts w:hint="eastAsia" w:cs="Times New Roman"/>
                <w:kern w:val="0"/>
                <w:sz w:val="20"/>
                <w:szCs w:val="20"/>
              </w:rPr>
            </w:pPr>
            <w:r>
              <w:rPr>
                <w:rFonts w:hint="eastAsia" w:cs="Times New Roman"/>
                <w:kern w:val="0"/>
                <w:sz w:val="20"/>
                <w:szCs w:val="20"/>
              </w:rPr>
              <w:t>生产设备</w:t>
            </w:r>
          </w:p>
        </w:tc>
        <w:tc>
          <w:tcPr>
            <w:tcW w:w="3256" w:type="pct"/>
            <w:shd w:val="clear" w:color="auto" w:fill="auto"/>
            <w:vAlign w:val="top"/>
          </w:tcPr>
          <w:p w14:paraId="3E651E67">
            <w:pPr>
              <w:rPr>
                <w:rFonts w:hint="eastAsia" w:cs="Times New Roman"/>
                <w:kern w:val="0"/>
                <w:sz w:val="20"/>
                <w:szCs w:val="20"/>
              </w:rPr>
            </w:pPr>
            <w:r>
              <w:rPr>
                <w:rFonts w:hint="eastAsia" w:cs="Times New Roman"/>
                <w:kern w:val="0"/>
                <w:sz w:val="20"/>
                <w:szCs w:val="20"/>
              </w:rPr>
              <w:t>涵盖核心加工设备：瓦楞纸板生产线（制造单/双/三层瓦楞纸板，即隔板基材）、模切机（将纸板切割成精准隔板形状）、开槽机（制作互锁组装用插槽）、压痕机（形成便于组装的折痕）、 箱体钉合/粘合机（固定隔板组件），以及分切机（将纸板切割至所需宽度）；另包含质量检测设备（抗爆强度测试仪、边压强度测试仪、厚度测量仪）用于验证纸板及隔板性能。</w:t>
            </w:r>
          </w:p>
        </w:tc>
      </w:tr>
      <w:tr w14:paraId="0A1B62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360" w:type="pct"/>
            <w:shd w:val="clear" w:color="auto" w:fill="auto"/>
            <w:vAlign w:val="center"/>
          </w:tcPr>
          <w:p w14:paraId="0F5C2F15">
            <w:pPr>
              <w:rPr>
                <w:rFonts w:cs="Times New Roman"/>
                <w:kern w:val="0"/>
                <w:sz w:val="20"/>
                <w:szCs w:val="20"/>
              </w:rPr>
            </w:pPr>
            <w:r>
              <w:rPr>
                <w:rFonts w:hint="eastAsia" w:cs="Times New Roman"/>
                <w:kern w:val="0"/>
                <w:sz w:val="20"/>
                <w:szCs w:val="20"/>
              </w:rPr>
              <w:t>中游</w:t>
            </w:r>
          </w:p>
        </w:tc>
        <w:tc>
          <w:tcPr>
            <w:tcW w:w="1384" w:type="pct"/>
            <w:shd w:val="clear" w:color="auto" w:fill="auto"/>
            <w:vAlign w:val="top"/>
          </w:tcPr>
          <w:p w14:paraId="5E86F9F7">
            <w:pPr>
              <w:jc w:val="left"/>
              <w:rPr>
                <w:rFonts w:cs="Times New Roman"/>
                <w:kern w:val="0"/>
                <w:sz w:val="20"/>
                <w:szCs w:val="20"/>
              </w:rPr>
            </w:pPr>
            <w:r>
              <w:rPr>
                <w:rFonts w:hint="eastAsia" w:cs="Times New Roman"/>
                <w:kern w:val="0"/>
                <w:sz w:val="20"/>
                <w:szCs w:val="20"/>
              </w:rPr>
              <w:t>制造商与加工商</w:t>
            </w:r>
          </w:p>
        </w:tc>
        <w:tc>
          <w:tcPr>
            <w:tcW w:w="3256" w:type="pct"/>
            <w:shd w:val="clear" w:color="auto" w:fill="auto"/>
            <w:vAlign w:val="top"/>
          </w:tcPr>
          <w:p w14:paraId="7B30618D">
            <w:pPr>
              <w:jc w:val="left"/>
              <w:rPr>
                <w:rFonts w:cs="Times New Roman"/>
                <w:kern w:val="0"/>
                <w:sz w:val="20"/>
                <w:szCs w:val="20"/>
              </w:rPr>
            </w:pPr>
            <w:r>
              <w:rPr>
                <w:rFonts w:hint="eastAsia" w:cs="Times New Roman"/>
                <w:kern w:val="0"/>
                <w:sz w:val="20"/>
                <w:szCs w:val="20"/>
              </w:rPr>
              <w:t>专业从事纸板隔板生产与定制的核心企业：首先通过瓦楞生产线将原纸加工成瓦楞纸板，再依据客户规格（尺寸、隔间数量、结构设计）通过模切、开槽、压痕及组装（咬合、粘合或钉合）工艺将纸板制成隔板； 针对不同场景提供定制化方案（如电子产品多隔间隔板、易碎品缓冲隔板），并实施质量检测（抗爆破强度、抗边压性能、尺寸精度）以满足包装要求；部分企业提供隔板与外箱的集成包装解决方案。</w:t>
            </w:r>
          </w:p>
        </w:tc>
      </w:tr>
      <w:tr w14:paraId="3F1E9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360" w:type="pct"/>
            <w:vMerge w:val="restart"/>
            <w:shd w:val="clear" w:color="auto" w:fill="auto"/>
            <w:vAlign w:val="center"/>
          </w:tcPr>
          <w:p w14:paraId="6CE51068">
            <w:pPr>
              <w:rPr>
                <w:rFonts w:hint="eastAsia" w:cs="Times New Roman"/>
                <w:kern w:val="0"/>
                <w:sz w:val="20"/>
                <w:szCs w:val="20"/>
              </w:rPr>
            </w:pPr>
            <w:r>
              <w:rPr>
                <w:rFonts w:hint="eastAsia" w:cs="Times New Roman"/>
                <w:kern w:val="0"/>
                <w:sz w:val="20"/>
                <w:szCs w:val="20"/>
              </w:rPr>
              <w:t>下游</w:t>
            </w:r>
          </w:p>
        </w:tc>
        <w:tc>
          <w:tcPr>
            <w:tcW w:w="1384" w:type="pct"/>
            <w:shd w:val="clear" w:color="auto" w:fill="auto"/>
            <w:vAlign w:val="top"/>
          </w:tcPr>
          <w:p w14:paraId="2AB34624">
            <w:pPr>
              <w:jc w:val="left"/>
              <w:rPr>
                <w:rFonts w:hint="eastAsia" w:cs="Times New Roman"/>
                <w:kern w:val="0"/>
                <w:sz w:val="20"/>
                <w:szCs w:val="20"/>
              </w:rPr>
            </w:pPr>
            <w:r>
              <w:rPr>
                <w:rFonts w:hint="eastAsia" w:cs="Times New Roman"/>
                <w:kern w:val="0"/>
                <w:sz w:val="20"/>
                <w:szCs w:val="20"/>
              </w:rPr>
              <w:t>食品饮料</w:t>
            </w:r>
          </w:p>
        </w:tc>
        <w:tc>
          <w:tcPr>
            <w:tcW w:w="3256" w:type="pct"/>
            <w:shd w:val="clear" w:color="auto" w:fill="auto"/>
            <w:vAlign w:val="top"/>
          </w:tcPr>
          <w:p w14:paraId="3A969D55">
            <w:pPr>
              <w:jc w:val="left"/>
              <w:rPr>
                <w:rFonts w:hint="eastAsia" w:cs="Times New Roman"/>
                <w:kern w:val="0"/>
                <w:sz w:val="20"/>
                <w:szCs w:val="20"/>
              </w:rPr>
            </w:pPr>
            <w:r>
              <w:rPr>
                <w:rFonts w:hint="eastAsia" w:cs="Times New Roman"/>
                <w:kern w:val="0"/>
                <w:sz w:val="20"/>
                <w:szCs w:val="20"/>
              </w:rPr>
              <w:t>核心应用于食品级无污染防护：隔板可分隔易碎品（玻璃瓶罐）、生鲜农产品、糕点及瓶装商品，防止挤压破损与交叉污染；符合食品接触安全标准，配备生鲜缓冲设计及运输仓储堆叠包装的结构支撑。</w:t>
            </w:r>
          </w:p>
        </w:tc>
      </w:tr>
      <w:tr w14:paraId="0E03AC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360" w:type="pct"/>
            <w:vMerge w:val="continue"/>
            <w:shd w:val="clear" w:color="auto" w:fill="auto"/>
            <w:vAlign w:val="center"/>
          </w:tcPr>
          <w:p w14:paraId="4C29D299">
            <w:pPr>
              <w:rPr>
                <w:rFonts w:cs="Times New Roman"/>
                <w:kern w:val="0"/>
                <w:sz w:val="20"/>
                <w:szCs w:val="20"/>
              </w:rPr>
            </w:pPr>
          </w:p>
        </w:tc>
        <w:tc>
          <w:tcPr>
            <w:tcW w:w="1384" w:type="pct"/>
            <w:shd w:val="clear" w:color="auto" w:fill="auto"/>
            <w:vAlign w:val="top"/>
          </w:tcPr>
          <w:p w14:paraId="7B81189C">
            <w:pPr>
              <w:jc w:val="left"/>
              <w:rPr>
                <w:rFonts w:cs="Times New Roman"/>
                <w:kern w:val="0"/>
                <w:sz w:val="20"/>
                <w:szCs w:val="20"/>
              </w:rPr>
            </w:pPr>
            <w:r>
              <w:rPr>
                <w:rFonts w:hint="eastAsia" w:cs="Times New Roman"/>
                <w:kern w:val="0"/>
                <w:sz w:val="20"/>
                <w:szCs w:val="20"/>
              </w:rPr>
              <w:t>汽车</w:t>
            </w:r>
          </w:p>
        </w:tc>
        <w:tc>
          <w:tcPr>
            <w:tcW w:w="3256" w:type="pct"/>
            <w:shd w:val="clear" w:color="auto" w:fill="auto"/>
            <w:vAlign w:val="top"/>
          </w:tcPr>
          <w:p w14:paraId="229A217E">
            <w:pPr>
              <w:jc w:val="left"/>
              <w:rPr>
                <w:rFonts w:cs="Times New Roman"/>
                <w:kern w:val="0"/>
                <w:sz w:val="20"/>
                <w:szCs w:val="20"/>
              </w:rPr>
            </w:pPr>
            <w:r>
              <w:rPr>
                <w:rFonts w:hint="eastAsia" w:cs="Times New Roman"/>
                <w:kern w:val="0"/>
                <w:sz w:val="20"/>
                <w:szCs w:val="20"/>
              </w:rPr>
              <w:t>通过定制多隔间分隔板保护汽车零部件（发动机部件、内饰件、紧固件、传感器、小型机械零件）：防止运输/装配过程中刮擦、磨损及碰撞损伤；专为重型部件支撑设计，采用耐用互锁结构，兼容汽车包装物流（如批量零件运输至装配线）。</w:t>
            </w:r>
          </w:p>
        </w:tc>
      </w:tr>
      <w:tr w14:paraId="245953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360" w:type="pct"/>
            <w:vMerge w:val="continue"/>
            <w:shd w:val="clear" w:color="auto" w:fill="auto"/>
            <w:vAlign w:val="center"/>
          </w:tcPr>
          <w:p w14:paraId="1FD6C1B5">
            <w:pPr>
              <w:rPr>
                <w:rFonts w:cs="Times New Roman"/>
                <w:kern w:val="0"/>
                <w:sz w:val="20"/>
                <w:szCs w:val="20"/>
              </w:rPr>
            </w:pPr>
          </w:p>
        </w:tc>
        <w:tc>
          <w:tcPr>
            <w:tcW w:w="1384" w:type="pct"/>
            <w:shd w:val="clear" w:color="auto" w:fill="auto"/>
            <w:vAlign w:val="top"/>
          </w:tcPr>
          <w:p w14:paraId="0CD1FA20">
            <w:pPr>
              <w:jc w:val="left"/>
              <w:rPr>
                <w:rFonts w:cs="Times New Roman"/>
                <w:kern w:val="0"/>
                <w:sz w:val="20"/>
                <w:szCs w:val="20"/>
              </w:rPr>
            </w:pPr>
            <w:r>
              <w:rPr>
                <w:rFonts w:hint="eastAsia" w:cs="Times New Roman"/>
                <w:kern w:val="0"/>
                <w:sz w:val="20"/>
                <w:szCs w:val="20"/>
              </w:rPr>
              <w:t>化妆品</w:t>
            </w:r>
          </w:p>
        </w:tc>
        <w:tc>
          <w:tcPr>
            <w:tcW w:w="3256" w:type="pct"/>
            <w:shd w:val="clear" w:color="auto" w:fill="auto"/>
            <w:vAlign w:val="top"/>
          </w:tcPr>
          <w:p w14:paraId="6E754808">
            <w:pPr>
              <w:jc w:val="left"/>
              <w:rPr>
                <w:rFonts w:cs="Times New Roman"/>
                <w:kern w:val="0"/>
                <w:sz w:val="20"/>
                <w:szCs w:val="20"/>
              </w:rPr>
            </w:pPr>
            <w:r>
              <w:rPr>
                <w:rFonts w:hint="eastAsia" w:cs="Times New Roman"/>
                <w:kern w:val="0"/>
                <w:sz w:val="20"/>
                <w:szCs w:val="20"/>
              </w:rPr>
              <w:t>采用精密贴合的多隔间分隔设计，守护易碎美妆产品（玻璃瓶、罐体、泵头、口红、眼影、护肤套装）：有效防止破损、渗漏及表面刮伤；常采用洁净美观的零售就绪包装设计，可选配防静电特性以保护美妆工具/组件，并提供紧凑结构适用于礼品/快递包装盒。</w:t>
            </w:r>
          </w:p>
        </w:tc>
      </w:tr>
    </w:tbl>
    <w:p w14:paraId="5683A0C8">
      <w:pPr>
        <w:pStyle w:val="143"/>
        <w:rPr>
          <w:lang w:eastAsia="zh-CN"/>
        </w:rPr>
      </w:pPr>
      <w:r>
        <w:rPr>
          <w:rFonts w:hint="eastAsia"/>
          <w:lang w:eastAsia="zh-CN"/>
        </w:rPr>
        <w:t>资料来源：第三方资料、新闻报道、业内专家采访及QYResearch整理研究，2026年</w:t>
      </w:r>
    </w:p>
    <w:p w14:paraId="51F33C98">
      <w:pPr>
        <w:pStyle w:val="151"/>
        <w:widowControl w:val="0"/>
        <w:numPr>
          <w:ilvl w:val="0"/>
          <w:numId w:val="0"/>
        </w:numPr>
        <w:ind w:right="-105" w:rightChars="-50"/>
        <w:rPr>
          <w:lang w:eastAsia="zh-CN"/>
        </w:rPr>
      </w:pPr>
      <w:bookmarkStart w:id="14" w:name="_Toc60772837"/>
      <w:bookmarkStart w:id="15" w:name="_Toc207814809"/>
      <w:r>
        <w:rPr>
          <w:rFonts w:hint="eastAsia"/>
          <w:highlight w:val="lightGray"/>
          <w:lang w:eastAsia="zh-CN"/>
        </w:rPr>
        <w:t>表</w:t>
      </w:r>
      <w:r>
        <w:rPr>
          <w:rFonts w:hint="eastAsia"/>
          <w:lang w:eastAsia="zh-CN"/>
        </w:rPr>
        <w:t xml:space="preserve">2 </w:t>
      </w:r>
      <w:r>
        <w:rPr>
          <w:lang w:eastAsia="zh-CN"/>
        </w:rPr>
        <w:t>纸板隔板</w:t>
      </w:r>
      <w:r>
        <w:rPr>
          <w:rFonts w:hint="eastAsia"/>
          <w:lang w:eastAsia="zh-CN"/>
        </w:rPr>
        <w:t>行业政策分析</w:t>
      </w:r>
      <w:bookmarkEnd w:id="14"/>
      <w:bookmarkEnd w:id="15"/>
    </w:p>
    <w:tbl>
      <w:tblPr>
        <w:tblStyle w:val="43"/>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2437"/>
        <w:gridCol w:w="7067"/>
      </w:tblGrid>
      <w:tr w14:paraId="7E00D4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7B6884BB">
            <w:pPr>
              <w:rPr>
                <w:rFonts w:cs="Times New Roman"/>
                <w:b w:val="0"/>
                <w:bCs w:val="0"/>
                <w:color w:val="FFFFFF"/>
                <w:kern w:val="0"/>
                <w:sz w:val="20"/>
                <w:szCs w:val="20"/>
              </w:rPr>
            </w:pPr>
          </w:p>
        </w:tc>
        <w:tc>
          <w:tcPr>
            <w:tcW w:w="1223" w:type="pct"/>
            <w:shd w:val="solid" w:color="000080" w:fill="FFFFFF"/>
            <w:vAlign w:val="center"/>
          </w:tcPr>
          <w:p w14:paraId="73B90140">
            <w:pPr>
              <w:rPr>
                <w:rFonts w:cs="Times New Roman"/>
                <w:b w:val="0"/>
                <w:bCs w:val="0"/>
                <w:color w:val="FFFFFF"/>
                <w:kern w:val="0"/>
                <w:sz w:val="20"/>
                <w:szCs w:val="20"/>
              </w:rPr>
            </w:pPr>
            <w:r>
              <w:rPr>
                <w:rFonts w:hint="eastAsia" w:cs="Times New Roman"/>
                <w:b/>
                <w:bCs/>
                <w:color w:val="FFFFFF"/>
                <w:kern w:val="0"/>
                <w:sz w:val="20"/>
                <w:szCs w:val="20"/>
              </w:rPr>
              <w:t>政策</w:t>
            </w:r>
          </w:p>
        </w:tc>
        <w:tc>
          <w:tcPr>
            <w:tcW w:w="3547" w:type="pct"/>
            <w:shd w:val="solid" w:color="000080" w:fill="FFFFFF"/>
            <w:vAlign w:val="center"/>
          </w:tcPr>
          <w:p w14:paraId="1B71F641">
            <w:pPr>
              <w:rPr>
                <w:rFonts w:cs="Times New Roman"/>
                <w:b w:val="0"/>
                <w:bCs w:val="0"/>
                <w:color w:val="FFFFFF"/>
                <w:kern w:val="0"/>
                <w:sz w:val="20"/>
                <w:szCs w:val="20"/>
              </w:rPr>
            </w:pPr>
            <w:r>
              <w:rPr>
                <w:rFonts w:hint="eastAsia" w:cs="Times New Roman"/>
                <w:b/>
                <w:bCs/>
                <w:color w:val="FFFFFF"/>
                <w:kern w:val="0"/>
                <w:sz w:val="20"/>
                <w:szCs w:val="20"/>
              </w:rPr>
              <w:t>描述</w:t>
            </w:r>
          </w:p>
        </w:tc>
      </w:tr>
      <w:tr w14:paraId="3CFC70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0EFED34">
            <w:pPr>
              <w:rPr>
                <w:rFonts w:cs="Times New Roman"/>
                <w:kern w:val="0"/>
                <w:sz w:val="20"/>
                <w:szCs w:val="20"/>
              </w:rPr>
            </w:pPr>
            <w:r>
              <w:rPr>
                <w:rFonts w:hint="eastAsia" w:cs="Times New Roman"/>
                <w:kern w:val="0"/>
                <w:sz w:val="20"/>
                <w:szCs w:val="20"/>
              </w:rPr>
              <w:t>1</w:t>
            </w:r>
          </w:p>
        </w:tc>
        <w:tc>
          <w:tcPr>
            <w:tcW w:w="1223" w:type="pct"/>
            <w:shd w:val="clear" w:color="auto" w:fill="auto"/>
            <w:vAlign w:val="top"/>
          </w:tcPr>
          <w:p w14:paraId="0F6B90C7">
            <w:pPr>
              <w:rPr>
                <w:rFonts w:cs="Times New Roman"/>
                <w:kern w:val="0"/>
                <w:sz w:val="20"/>
                <w:szCs w:val="20"/>
              </w:rPr>
            </w:pPr>
            <w:r>
              <w:rPr>
                <w:rFonts w:hint="eastAsia" w:cs="Times New Roman"/>
                <w:kern w:val="0"/>
                <w:sz w:val="20"/>
                <w:szCs w:val="20"/>
              </w:rPr>
              <w:t>欧盟包装及包装废弃物法规（PPWR）——可回收性、废弃物预防与标签要求</w:t>
            </w:r>
          </w:p>
        </w:tc>
        <w:tc>
          <w:tcPr>
            <w:tcW w:w="3547" w:type="pct"/>
            <w:shd w:val="clear" w:color="auto" w:fill="auto"/>
            <w:vAlign w:val="top"/>
          </w:tcPr>
          <w:p w14:paraId="2C9DCE34">
            <w:pPr>
              <w:rPr>
                <w:rFonts w:cs="Times New Roman"/>
                <w:kern w:val="0"/>
                <w:sz w:val="20"/>
                <w:szCs w:val="20"/>
              </w:rPr>
            </w:pPr>
            <w:r>
              <w:rPr>
                <w:rFonts w:hint="eastAsia" w:cs="Times New Roman"/>
                <w:kern w:val="0"/>
                <w:sz w:val="20"/>
                <w:szCs w:val="20"/>
              </w:rPr>
              <w:t>欧盟近期推出的包装改革推动整个包装生命周期向回收设计方向发展，明确统一了分类/标签规则，并提出了废弃物预防要求。这促使纸板隔板供应商优化纤维基材设计以适应现有回收体系，并为品牌商和加工商提供更完善的合规文件。</w:t>
            </w:r>
          </w:p>
        </w:tc>
      </w:tr>
      <w:tr w14:paraId="175311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B804ABE">
            <w:pPr>
              <w:rPr>
                <w:rFonts w:cs="Times New Roman"/>
                <w:kern w:val="0"/>
                <w:sz w:val="20"/>
                <w:szCs w:val="20"/>
              </w:rPr>
            </w:pPr>
            <w:r>
              <w:rPr>
                <w:rFonts w:hint="eastAsia" w:cs="Times New Roman"/>
                <w:kern w:val="0"/>
                <w:sz w:val="20"/>
                <w:szCs w:val="20"/>
              </w:rPr>
              <w:t>2</w:t>
            </w:r>
          </w:p>
        </w:tc>
        <w:tc>
          <w:tcPr>
            <w:tcW w:w="1223" w:type="pct"/>
            <w:shd w:val="clear" w:color="auto" w:fill="auto"/>
            <w:vAlign w:val="top"/>
          </w:tcPr>
          <w:p w14:paraId="43C02A26">
            <w:pPr>
              <w:rPr>
                <w:rFonts w:cs="Times New Roman"/>
                <w:kern w:val="0"/>
                <w:sz w:val="20"/>
                <w:szCs w:val="20"/>
              </w:rPr>
            </w:pPr>
            <w:r>
              <w:rPr>
                <w:rFonts w:hint="eastAsia" w:cs="Times New Roman"/>
                <w:kern w:val="0"/>
                <w:sz w:val="20"/>
                <w:szCs w:val="20"/>
              </w:rPr>
              <w:t>包装领域生产者延伸责任（EPR）扩展（欧盟+美国各州）</w:t>
            </w:r>
          </w:p>
        </w:tc>
        <w:tc>
          <w:tcPr>
            <w:tcW w:w="3547" w:type="pct"/>
            <w:shd w:val="clear" w:color="auto" w:fill="auto"/>
            <w:vAlign w:val="top"/>
          </w:tcPr>
          <w:p w14:paraId="3E1DC673">
            <w:pPr>
              <w:rPr>
                <w:rFonts w:cs="Times New Roman"/>
                <w:kern w:val="0"/>
                <w:sz w:val="20"/>
                <w:szCs w:val="20"/>
              </w:rPr>
            </w:pPr>
            <w:r>
              <w:rPr>
                <w:rFonts w:hint="eastAsia" w:cs="Times New Roman"/>
                <w:kern w:val="0"/>
                <w:sz w:val="20"/>
                <w:szCs w:val="20"/>
              </w:rPr>
              <w:t>包装生产者责任延伸制度范围不断扩大，将产品生命周期末端的成本和报告义务转移至“生产者”，促使下游客户要求包装组件（包括隔板）具备更易回收、更轻量化/低材料密集度等特性，并需提供可追溯的材料声明以减少费用和合规风险。</w:t>
            </w:r>
          </w:p>
        </w:tc>
      </w:tr>
      <w:tr w14:paraId="635A8F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282C2FE">
            <w:pPr>
              <w:rPr>
                <w:rFonts w:cs="Times New Roman"/>
                <w:kern w:val="0"/>
                <w:sz w:val="20"/>
                <w:szCs w:val="20"/>
              </w:rPr>
            </w:pPr>
            <w:r>
              <w:rPr>
                <w:rFonts w:hint="eastAsia" w:cs="Times New Roman"/>
                <w:kern w:val="0"/>
                <w:sz w:val="20"/>
                <w:szCs w:val="20"/>
              </w:rPr>
              <w:t>3</w:t>
            </w:r>
          </w:p>
        </w:tc>
        <w:tc>
          <w:tcPr>
            <w:tcW w:w="1223" w:type="pct"/>
            <w:shd w:val="clear" w:color="auto" w:fill="auto"/>
            <w:vAlign w:val="top"/>
          </w:tcPr>
          <w:p w14:paraId="3D7F4551">
            <w:pPr>
              <w:rPr>
                <w:rFonts w:cs="Times New Roman"/>
                <w:kern w:val="0"/>
                <w:sz w:val="20"/>
                <w:szCs w:val="20"/>
              </w:rPr>
            </w:pPr>
            <w:r>
              <w:rPr>
                <w:rFonts w:hint="eastAsia" w:cs="Times New Roman"/>
                <w:kern w:val="0"/>
                <w:sz w:val="20"/>
                <w:szCs w:val="20"/>
              </w:rPr>
              <w:t>欧盟森林砍伐条例（EUDR）——木纤维供应链尽职调查</w:t>
            </w:r>
          </w:p>
        </w:tc>
        <w:tc>
          <w:tcPr>
            <w:tcW w:w="3547" w:type="pct"/>
            <w:shd w:val="clear" w:color="auto" w:fill="auto"/>
            <w:vAlign w:val="top"/>
          </w:tcPr>
          <w:p w14:paraId="5693135C">
            <w:pPr>
              <w:rPr>
                <w:rFonts w:cs="Times New Roman"/>
                <w:kern w:val="0"/>
                <w:sz w:val="20"/>
                <w:szCs w:val="20"/>
              </w:rPr>
            </w:pPr>
            <w:r>
              <w:rPr>
                <w:rFonts w:hint="eastAsia" w:cs="Times New Roman"/>
                <w:kern w:val="0"/>
                <w:sz w:val="20"/>
                <w:szCs w:val="20"/>
              </w:rPr>
              <w:t>欧盟木材法规实施后，木质原料（涉及纸浆/纸包装）面临更严格审查，尽职调查证据、可追溯性及供应商管控要求提升——迫使纸板隔板制造商强化产销监管链实践与文件管理，以避免运输延误和采购资格取消。</w:t>
            </w:r>
          </w:p>
        </w:tc>
      </w:tr>
    </w:tbl>
    <w:p w14:paraId="1A1ED0DB">
      <w:pPr>
        <w:pStyle w:val="143"/>
        <w:rPr>
          <w:lang w:eastAsia="zh-CN"/>
        </w:rPr>
      </w:pPr>
      <w:r>
        <w:rPr>
          <w:rFonts w:hint="eastAsia"/>
          <w:lang w:eastAsia="zh-CN"/>
        </w:rPr>
        <w:t>资料来源：第三方资料、新闻报道、业内专家采访及QYResearch整理研究，2026年</w:t>
      </w:r>
      <w:bookmarkStart w:id="16" w:name="_Toc207814808"/>
    </w:p>
    <w:p w14:paraId="4B7DF85B">
      <w:pPr>
        <w:pStyle w:val="151"/>
        <w:numPr>
          <w:ilvl w:val="0"/>
          <w:numId w:val="0"/>
        </w:numPr>
        <w:rPr>
          <w:lang w:eastAsia="zh-CN"/>
        </w:rPr>
      </w:pPr>
      <w:r>
        <w:rPr>
          <w:rFonts w:hint="eastAsia"/>
          <w:lang w:eastAsia="zh-CN"/>
        </w:rPr>
        <w:t xml:space="preserve">表3 </w:t>
      </w:r>
      <w:r>
        <w:rPr>
          <w:lang w:eastAsia="zh-CN"/>
        </w:rPr>
        <w:t>纸板隔板</w:t>
      </w:r>
      <w:r>
        <w:rPr>
          <w:rFonts w:hint="eastAsia"/>
          <w:lang w:eastAsia="zh-CN"/>
        </w:rPr>
        <w:t>行业发展</w:t>
      </w:r>
      <w:bookmarkEnd w:id="16"/>
      <w:r>
        <w:rPr>
          <w:rFonts w:hint="eastAsia"/>
          <w:lang w:eastAsia="zh-CN"/>
        </w:rPr>
        <w:t>趋势</w:t>
      </w:r>
    </w:p>
    <w:tbl>
      <w:tblPr>
        <w:tblStyle w:val="43"/>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1775"/>
        <w:gridCol w:w="7729"/>
      </w:tblGrid>
      <w:tr w14:paraId="54343F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3AAD9353">
            <w:pPr>
              <w:rPr>
                <w:rFonts w:cs="Times New Roman"/>
                <w:b w:val="0"/>
                <w:bCs w:val="0"/>
                <w:color w:val="FFFFFF"/>
                <w:kern w:val="0"/>
                <w:sz w:val="20"/>
                <w:szCs w:val="20"/>
              </w:rPr>
            </w:pPr>
          </w:p>
        </w:tc>
        <w:tc>
          <w:tcPr>
            <w:tcW w:w="891" w:type="pct"/>
            <w:shd w:val="solid" w:color="000080" w:fill="FFFFFF"/>
            <w:vAlign w:val="center"/>
          </w:tcPr>
          <w:p w14:paraId="2FF9AFF2">
            <w:pPr>
              <w:rPr>
                <w:rFonts w:cs="Times New Roman"/>
                <w:b w:val="0"/>
                <w:bCs w:val="0"/>
                <w:color w:val="FFFFFF"/>
                <w:kern w:val="0"/>
                <w:sz w:val="20"/>
                <w:szCs w:val="20"/>
              </w:rPr>
            </w:pPr>
            <w:r>
              <w:rPr>
                <w:rFonts w:hint="eastAsia" w:cs="Times New Roman"/>
                <w:b/>
                <w:bCs/>
                <w:color w:val="FFFFFF"/>
                <w:kern w:val="0"/>
                <w:sz w:val="20"/>
                <w:szCs w:val="20"/>
              </w:rPr>
              <w:t>发展趋势</w:t>
            </w:r>
          </w:p>
        </w:tc>
        <w:tc>
          <w:tcPr>
            <w:tcW w:w="3879" w:type="pct"/>
            <w:shd w:val="solid" w:color="000080" w:fill="FFFFFF"/>
            <w:vAlign w:val="center"/>
          </w:tcPr>
          <w:p w14:paraId="18DF93C2">
            <w:pPr>
              <w:rPr>
                <w:rFonts w:cs="Times New Roman"/>
                <w:b w:val="0"/>
                <w:bCs w:val="0"/>
                <w:color w:val="FFFFFF"/>
                <w:kern w:val="0"/>
                <w:sz w:val="20"/>
                <w:szCs w:val="20"/>
              </w:rPr>
            </w:pPr>
            <w:r>
              <w:rPr>
                <w:rFonts w:hint="eastAsia" w:cs="Times New Roman"/>
                <w:b/>
                <w:bCs/>
                <w:color w:val="FFFFFF"/>
                <w:kern w:val="0"/>
                <w:sz w:val="20"/>
                <w:szCs w:val="20"/>
              </w:rPr>
              <w:t>描述</w:t>
            </w:r>
          </w:p>
        </w:tc>
      </w:tr>
      <w:tr w14:paraId="5BDA0E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381BDB8">
            <w:pPr>
              <w:rPr>
                <w:rFonts w:cs="Times New Roman"/>
                <w:kern w:val="0"/>
                <w:sz w:val="20"/>
                <w:szCs w:val="20"/>
              </w:rPr>
            </w:pPr>
            <w:r>
              <w:rPr>
                <w:rFonts w:hint="eastAsia" w:cs="Times New Roman"/>
                <w:kern w:val="0"/>
                <w:sz w:val="20"/>
                <w:szCs w:val="20"/>
              </w:rPr>
              <w:t>1</w:t>
            </w:r>
          </w:p>
        </w:tc>
        <w:tc>
          <w:tcPr>
            <w:tcW w:w="891" w:type="pct"/>
            <w:shd w:val="clear" w:color="auto" w:fill="auto"/>
            <w:vAlign w:val="top"/>
          </w:tcPr>
          <w:p w14:paraId="535838E6">
            <w:pPr>
              <w:jc w:val="left"/>
              <w:rPr>
                <w:rFonts w:cs="Times New Roman"/>
                <w:kern w:val="0"/>
                <w:sz w:val="20"/>
                <w:szCs w:val="20"/>
              </w:rPr>
            </w:pPr>
            <w:r>
              <w:rPr>
                <w:rFonts w:hint="eastAsia" w:cs="Times New Roman"/>
                <w:kern w:val="0"/>
                <w:sz w:val="20"/>
                <w:szCs w:val="20"/>
              </w:rPr>
              <w:t>可持续与循环经济融合</w:t>
            </w:r>
          </w:p>
        </w:tc>
        <w:tc>
          <w:tcPr>
            <w:tcW w:w="3879" w:type="pct"/>
            <w:shd w:val="clear" w:color="auto" w:fill="auto"/>
            <w:vAlign w:val="top"/>
          </w:tcPr>
          <w:p w14:paraId="7A8BAF89">
            <w:pPr>
              <w:rPr>
                <w:rFonts w:cs="Times New Roman"/>
                <w:kern w:val="0"/>
                <w:sz w:val="20"/>
                <w:szCs w:val="20"/>
              </w:rPr>
            </w:pPr>
            <w:r>
              <w:rPr>
                <w:rFonts w:hint="eastAsia" w:cs="Times New Roman"/>
                <w:kern w:val="0"/>
                <w:sz w:val="20"/>
                <w:szCs w:val="20"/>
              </w:rPr>
              <w:t>受全球环保法规和下游绿色采购需求驱动，行业正加速向循环环保模式转型。具体措施包括：提高原料中再生原纸的比例，用水性/淀粉基/可生物降解粘合剂替代不可回收粘合剂，并采用“可回收设计”确保隔板易于再制浆。企业正构建闭环系统回收再处理使用过的隔板，从而减少工业废弃物并降低全生命周期碳足迹。</w:t>
            </w:r>
          </w:p>
        </w:tc>
      </w:tr>
      <w:tr w14:paraId="597561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750935">
            <w:pPr>
              <w:rPr>
                <w:rFonts w:cs="Times New Roman"/>
                <w:kern w:val="0"/>
                <w:sz w:val="20"/>
                <w:szCs w:val="20"/>
              </w:rPr>
            </w:pPr>
            <w:r>
              <w:rPr>
                <w:rFonts w:hint="eastAsia" w:cs="Times New Roman"/>
                <w:kern w:val="0"/>
                <w:sz w:val="20"/>
                <w:szCs w:val="20"/>
              </w:rPr>
              <w:t>2</w:t>
            </w:r>
          </w:p>
        </w:tc>
        <w:tc>
          <w:tcPr>
            <w:tcW w:w="891" w:type="pct"/>
            <w:shd w:val="clear" w:color="auto" w:fill="auto"/>
            <w:vAlign w:val="top"/>
          </w:tcPr>
          <w:p w14:paraId="3FEF2333">
            <w:pPr>
              <w:jc w:val="left"/>
              <w:rPr>
                <w:rFonts w:cs="Times New Roman"/>
                <w:kern w:val="0"/>
                <w:sz w:val="20"/>
                <w:szCs w:val="20"/>
              </w:rPr>
            </w:pPr>
            <w:r>
              <w:rPr>
                <w:rFonts w:hint="eastAsia" w:cs="Times New Roman"/>
                <w:kern w:val="0"/>
                <w:sz w:val="20"/>
                <w:szCs w:val="20"/>
              </w:rPr>
              <w:t>定制化与场景化功能升级</w:t>
            </w:r>
          </w:p>
        </w:tc>
        <w:tc>
          <w:tcPr>
            <w:tcW w:w="3879" w:type="pct"/>
            <w:shd w:val="clear" w:color="auto" w:fill="auto"/>
            <w:vAlign w:val="top"/>
          </w:tcPr>
          <w:p w14:paraId="54263969">
            <w:pPr>
              <w:rPr>
                <w:rFonts w:cs="Times New Roman"/>
                <w:kern w:val="0"/>
                <w:sz w:val="20"/>
                <w:szCs w:val="20"/>
              </w:rPr>
            </w:pPr>
            <w:r>
              <w:rPr>
                <w:rFonts w:hint="eastAsia" w:cs="Times New Roman"/>
                <w:kern w:val="0"/>
                <w:sz w:val="20"/>
                <w:szCs w:val="20"/>
              </w:rPr>
              <w:t>面对多元化的下游需求，行业正朝着高度定制化、功能集成化的解决方案发展。在食品饮料领域，这意味着采用食品级防漏缓冲隔板保护易腐品；汽车领域则需重型抗冲击设计固定零部件；化妆品领域为易碎礼品套装打造美观贴合的多隔间结构；电子电气领域则需具备防静电（ESD）功能的防尘防震隔板保护精密零件——所有创新均强调场景特定的结构与性能突破。</w:t>
            </w:r>
          </w:p>
        </w:tc>
      </w:tr>
      <w:tr w14:paraId="3D6282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7372FC7">
            <w:pPr>
              <w:rPr>
                <w:rFonts w:cs="Times New Roman"/>
                <w:kern w:val="0"/>
                <w:sz w:val="20"/>
                <w:szCs w:val="20"/>
              </w:rPr>
            </w:pPr>
            <w:r>
              <w:rPr>
                <w:rFonts w:hint="eastAsia" w:cs="Times New Roman"/>
                <w:kern w:val="0"/>
                <w:sz w:val="20"/>
                <w:szCs w:val="20"/>
              </w:rPr>
              <w:t>3</w:t>
            </w:r>
          </w:p>
        </w:tc>
        <w:tc>
          <w:tcPr>
            <w:tcW w:w="891" w:type="pct"/>
            <w:shd w:val="clear" w:color="auto" w:fill="auto"/>
            <w:vAlign w:val="top"/>
          </w:tcPr>
          <w:p w14:paraId="6B30A162">
            <w:pPr>
              <w:jc w:val="left"/>
              <w:rPr>
                <w:rFonts w:cs="Times New Roman"/>
                <w:kern w:val="0"/>
                <w:sz w:val="20"/>
                <w:szCs w:val="20"/>
              </w:rPr>
            </w:pPr>
            <w:r>
              <w:rPr>
                <w:rFonts w:hint="eastAsia" w:cs="Times New Roman"/>
                <w:kern w:val="0"/>
                <w:sz w:val="20"/>
                <w:szCs w:val="20"/>
              </w:rPr>
              <w:t>智能制造与数字赋能</w:t>
            </w:r>
          </w:p>
        </w:tc>
        <w:tc>
          <w:tcPr>
            <w:tcW w:w="3879" w:type="pct"/>
            <w:shd w:val="clear" w:color="auto" w:fill="auto"/>
            <w:vAlign w:val="top"/>
          </w:tcPr>
          <w:p w14:paraId="43AC205E">
            <w:pPr>
              <w:rPr>
                <w:rFonts w:cs="Times New Roman"/>
                <w:kern w:val="0"/>
                <w:sz w:val="20"/>
                <w:szCs w:val="20"/>
              </w:rPr>
            </w:pPr>
            <w:r>
              <w:rPr>
                <w:rFonts w:hint="eastAsia" w:cs="Times New Roman"/>
                <w:kern w:val="0"/>
                <w:sz w:val="20"/>
                <w:szCs w:val="20"/>
              </w:rPr>
              <w:t>该行业正采用智能与数字技术提升效率、质量及响应能力。关键举措包括：配备物联网技术的自动化生产线通过实时监控降低缺陷率；利用人工智能设计工具优化隔板结构以满足产品尺寸与防护需求，提高材料利用率；采用二维码/RFID追溯技术实现全生命周期追踪；运用大数据分析进行需求预测与灵活的小批量生产，从而快速适应不断变化的下游订单。</w:t>
            </w:r>
          </w:p>
        </w:tc>
      </w:tr>
      <w:tr w14:paraId="4AFE2C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72406A4">
            <w:pPr>
              <w:rPr>
                <w:rFonts w:cs="Times New Roman"/>
                <w:kern w:val="0"/>
                <w:sz w:val="20"/>
                <w:szCs w:val="20"/>
              </w:rPr>
            </w:pPr>
            <w:r>
              <w:rPr>
                <w:rFonts w:hint="eastAsia" w:cs="Times New Roman"/>
                <w:kern w:val="0"/>
                <w:sz w:val="20"/>
                <w:szCs w:val="20"/>
              </w:rPr>
              <w:t>4</w:t>
            </w:r>
          </w:p>
        </w:tc>
        <w:tc>
          <w:tcPr>
            <w:tcW w:w="891" w:type="pct"/>
            <w:shd w:val="clear" w:color="auto" w:fill="auto"/>
            <w:vAlign w:val="top"/>
          </w:tcPr>
          <w:p w14:paraId="0C1F73DC">
            <w:pPr>
              <w:jc w:val="left"/>
              <w:rPr>
                <w:rFonts w:cs="Times New Roman"/>
                <w:kern w:val="0"/>
                <w:sz w:val="20"/>
                <w:szCs w:val="20"/>
              </w:rPr>
            </w:pPr>
            <w:r>
              <w:rPr>
                <w:rFonts w:hint="eastAsia" w:cs="Times New Roman"/>
                <w:kern w:val="0"/>
                <w:sz w:val="20"/>
                <w:szCs w:val="20"/>
              </w:rPr>
              <w:t>轻量化与高性能协同</w:t>
            </w:r>
          </w:p>
        </w:tc>
        <w:tc>
          <w:tcPr>
            <w:tcW w:w="3879" w:type="pct"/>
            <w:shd w:val="clear" w:color="auto" w:fill="auto"/>
            <w:vAlign w:val="top"/>
          </w:tcPr>
          <w:p w14:paraId="2DAC6DD4">
            <w:pPr>
              <w:rPr>
                <w:rFonts w:cs="Times New Roman"/>
                <w:kern w:val="0"/>
                <w:sz w:val="20"/>
                <w:szCs w:val="20"/>
              </w:rPr>
            </w:pPr>
            <w:r>
              <w:rPr>
                <w:rFonts w:hint="eastAsia" w:cs="Times New Roman"/>
                <w:kern w:val="0"/>
                <w:sz w:val="20"/>
                <w:szCs w:val="20"/>
              </w:rPr>
              <w:t>为平衡成本节约、材料效率与防护性能，行业正着力于轻量化设计，同时提升强度与功能性。具体措施包括：采用高强度低克重瓦楞纸，在保持承重缓冲能力的同时减少材料用量；优化压痕、开槽及互锁结构以提升抗冲击性与堆叠稳定性；研发微瓦楞复合纸板实现更薄更强的防护性能。该趋势既降低生产物流成本，又满足电商及高吞吐量物流领域对紧凑高效包装的需求。</w:t>
            </w:r>
          </w:p>
        </w:tc>
      </w:tr>
    </w:tbl>
    <w:p w14:paraId="2BBC9B45">
      <w:pPr>
        <w:pStyle w:val="143"/>
        <w:rPr>
          <w:lang w:eastAsia="zh-CN"/>
        </w:rPr>
      </w:pPr>
      <w:r>
        <w:rPr>
          <w:rFonts w:hint="eastAsia"/>
          <w:lang w:eastAsia="zh-CN"/>
        </w:rPr>
        <w:t>资料来源：第三方资料、新闻报道、业内专家采访及QYResearch整理研究，2026年</w:t>
      </w:r>
    </w:p>
    <w:p w14:paraId="64C1AE96">
      <w:pPr>
        <w:pStyle w:val="151"/>
        <w:numPr>
          <w:ilvl w:val="0"/>
          <w:numId w:val="0"/>
        </w:numPr>
        <w:rPr>
          <w:lang w:eastAsia="zh-CN"/>
        </w:rPr>
      </w:pPr>
      <w:r>
        <w:rPr>
          <w:rFonts w:hint="eastAsia"/>
          <w:lang w:eastAsia="zh-CN"/>
        </w:rPr>
        <w:t xml:space="preserve">表4 </w:t>
      </w:r>
      <w:r>
        <w:rPr>
          <w:lang w:eastAsia="zh-CN"/>
        </w:rPr>
        <w:t>纸板隔板</w:t>
      </w:r>
      <w:r>
        <w:rPr>
          <w:rFonts w:hint="eastAsia"/>
          <w:lang w:eastAsia="zh-CN"/>
        </w:rPr>
        <w:t>行业发展机会</w:t>
      </w:r>
    </w:p>
    <w:tbl>
      <w:tblPr>
        <w:tblStyle w:val="43"/>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1775"/>
        <w:gridCol w:w="7729"/>
      </w:tblGrid>
      <w:tr w14:paraId="03B740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75539F62">
            <w:pPr>
              <w:rPr>
                <w:rFonts w:cs="Times New Roman"/>
                <w:b w:val="0"/>
                <w:bCs w:val="0"/>
                <w:color w:val="FFFFFF"/>
                <w:kern w:val="0"/>
                <w:sz w:val="20"/>
                <w:szCs w:val="20"/>
              </w:rPr>
            </w:pPr>
          </w:p>
        </w:tc>
        <w:tc>
          <w:tcPr>
            <w:tcW w:w="891" w:type="pct"/>
            <w:shd w:val="solid" w:color="000080" w:fill="FFFFFF"/>
            <w:vAlign w:val="center"/>
          </w:tcPr>
          <w:p w14:paraId="24166C36">
            <w:pPr>
              <w:rPr>
                <w:rFonts w:cs="Times New Roman"/>
                <w:b w:val="0"/>
                <w:bCs w:val="0"/>
                <w:color w:val="FFFFFF"/>
                <w:kern w:val="0"/>
                <w:sz w:val="20"/>
                <w:szCs w:val="20"/>
              </w:rPr>
            </w:pPr>
            <w:r>
              <w:rPr>
                <w:rFonts w:hint="eastAsia" w:cs="Times New Roman"/>
                <w:b/>
                <w:bCs/>
                <w:color w:val="FFFFFF"/>
                <w:kern w:val="0"/>
                <w:sz w:val="20"/>
                <w:szCs w:val="20"/>
              </w:rPr>
              <w:t>发展机会</w:t>
            </w:r>
          </w:p>
        </w:tc>
        <w:tc>
          <w:tcPr>
            <w:tcW w:w="3879" w:type="pct"/>
            <w:shd w:val="solid" w:color="000080" w:fill="FFFFFF"/>
            <w:vAlign w:val="center"/>
          </w:tcPr>
          <w:p w14:paraId="0B4225F8">
            <w:pPr>
              <w:rPr>
                <w:rFonts w:cs="Times New Roman"/>
                <w:b w:val="0"/>
                <w:bCs w:val="0"/>
                <w:color w:val="FFFFFF"/>
                <w:kern w:val="0"/>
                <w:sz w:val="20"/>
                <w:szCs w:val="20"/>
              </w:rPr>
            </w:pPr>
            <w:r>
              <w:rPr>
                <w:rFonts w:hint="eastAsia" w:cs="Times New Roman"/>
                <w:b/>
                <w:bCs/>
                <w:color w:val="FFFFFF"/>
                <w:kern w:val="0"/>
                <w:sz w:val="20"/>
                <w:szCs w:val="20"/>
              </w:rPr>
              <w:t>描述</w:t>
            </w:r>
          </w:p>
        </w:tc>
      </w:tr>
      <w:tr w14:paraId="3595D3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82341AC">
            <w:pPr>
              <w:rPr>
                <w:rFonts w:cs="Times New Roman"/>
                <w:kern w:val="0"/>
                <w:sz w:val="20"/>
                <w:szCs w:val="20"/>
              </w:rPr>
            </w:pPr>
            <w:r>
              <w:rPr>
                <w:rFonts w:hint="eastAsia" w:cs="Times New Roman"/>
                <w:kern w:val="0"/>
                <w:sz w:val="20"/>
                <w:szCs w:val="20"/>
              </w:rPr>
              <w:t>1</w:t>
            </w:r>
          </w:p>
        </w:tc>
        <w:tc>
          <w:tcPr>
            <w:tcW w:w="891" w:type="pct"/>
            <w:shd w:val="clear" w:color="auto" w:fill="auto"/>
            <w:vAlign w:val="top"/>
          </w:tcPr>
          <w:p w14:paraId="6B9B329B">
            <w:pPr>
              <w:rPr>
                <w:rFonts w:cs="Times New Roman"/>
                <w:kern w:val="0"/>
                <w:sz w:val="20"/>
                <w:szCs w:val="20"/>
              </w:rPr>
            </w:pPr>
            <w:r>
              <w:rPr>
                <w:rFonts w:hint="eastAsia" w:cs="Times New Roman"/>
                <w:kern w:val="0"/>
                <w:sz w:val="20"/>
                <w:szCs w:val="20"/>
              </w:rPr>
              <w:t>政策驱动的绿色包装转型与循环经济高端市场</w:t>
            </w:r>
          </w:p>
        </w:tc>
        <w:tc>
          <w:tcPr>
            <w:tcW w:w="3879" w:type="pct"/>
            <w:shd w:val="clear" w:color="auto" w:fill="auto"/>
            <w:vAlign w:val="top"/>
          </w:tcPr>
          <w:p w14:paraId="3BF15D52">
            <w:pPr>
              <w:rPr>
                <w:rFonts w:cs="Times New Roman"/>
                <w:kern w:val="0"/>
                <w:sz w:val="20"/>
                <w:szCs w:val="20"/>
              </w:rPr>
            </w:pPr>
            <w:r>
              <w:rPr>
                <w:rFonts w:hint="eastAsia" w:cs="Times New Roman"/>
                <w:kern w:val="0"/>
                <w:sz w:val="20"/>
                <w:szCs w:val="20"/>
              </w:rPr>
              <w:t>全球及区域性环境政策要求包装材料提高再生含量、采用生物降解材料及可回收设计，由此创造了重大机遇。开发并规模化生产高再生含量纸板、食品级可生物降解粘合剂及完全可再浆化隔板结构的企业，可获得食品饮料、电子电气等下游行业的绿色采购优先权。构建闭环回收体系，收集并再加工汽车和化妆品客户的废弃隔板，更能将环保合规转化为竞争优势，从而赢得高端市场份额并建立长期供应链伙伴关系。</w:t>
            </w:r>
          </w:p>
        </w:tc>
      </w:tr>
      <w:tr w14:paraId="15F7F6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FE95918">
            <w:pPr>
              <w:rPr>
                <w:rFonts w:cs="Times New Roman"/>
                <w:kern w:val="0"/>
                <w:sz w:val="20"/>
                <w:szCs w:val="20"/>
              </w:rPr>
            </w:pPr>
            <w:r>
              <w:rPr>
                <w:rFonts w:hint="eastAsia" w:cs="Times New Roman"/>
                <w:kern w:val="0"/>
                <w:sz w:val="20"/>
                <w:szCs w:val="20"/>
              </w:rPr>
              <w:t>2</w:t>
            </w:r>
          </w:p>
        </w:tc>
        <w:tc>
          <w:tcPr>
            <w:tcW w:w="891" w:type="pct"/>
            <w:shd w:val="clear" w:color="auto" w:fill="auto"/>
            <w:vAlign w:val="top"/>
          </w:tcPr>
          <w:p w14:paraId="460BE095">
            <w:pPr>
              <w:rPr>
                <w:rFonts w:cs="Times New Roman"/>
                <w:kern w:val="0"/>
                <w:sz w:val="20"/>
                <w:szCs w:val="20"/>
              </w:rPr>
            </w:pPr>
            <w:r>
              <w:rPr>
                <w:rFonts w:hint="eastAsia" w:cs="Times New Roman"/>
                <w:kern w:val="0"/>
                <w:sz w:val="20"/>
                <w:szCs w:val="20"/>
              </w:rPr>
              <w:t>为细分下游领域提供定制化高价值解决方案</w:t>
            </w:r>
          </w:p>
        </w:tc>
        <w:tc>
          <w:tcPr>
            <w:tcW w:w="3879" w:type="pct"/>
            <w:shd w:val="clear" w:color="auto" w:fill="auto"/>
            <w:vAlign w:val="top"/>
          </w:tcPr>
          <w:p w14:paraId="50B39F6D">
            <w:pPr>
              <w:rPr>
                <w:rFonts w:cs="Times New Roman"/>
                <w:kern w:val="0"/>
                <w:sz w:val="20"/>
                <w:szCs w:val="20"/>
              </w:rPr>
            </w:pPr>
            <w:r>
              <w:rPr>
                <w:rFonts w:hint="eastAsia" w:cs="Times New Roman"/>
                <w:kern w:val="0"/>
                <w:sz w:val="20"/>
                <w:szCs w:val="20"/>
              </w:rPr>
              <w:t>关键下游行业多样化、场景特定的需求，为定制化高性能分隔解决方案创造机遇。针对食品饮料领域，采用食品级材料开发防漏缓冲分隔件，满足生鲜农产品与瓶装商品运输需求；面向汽车行业，工程化重型抗冲击互锁结构可稳固固定发动机部件及内饰件；针对化妆品领域，设计流线型紧密贴合的多隔间分隔件，提升零售包装吸引力； 电子电气领域，通过集成防静电材料与精密切割隔间，可有效保护电路板及小型电器。企业若聚焦场景化研发与定制化设计，便能突破低附加值商品生产格局，成功开拓高利润利基市场。</w:t>
            </w:r>
          </w:p>
        </w:tc>
      </w:tr>
      <w:tr w14:paraId="4B7B68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4BD7D1D">
            <w:pPr>
              <w:rPr>
                <w:rFonts w:cs="Times New Roman"/>
                <w:kern w:val="0"/>
                <w:sz w:val="20"/>
                <w:szCs w:val="20"/>
              </w:rPr>
            </w:pPr>
            <w:r>
              <w:rPr>
                <w:rFonts w:hint="eastAsia" w:cs="Times New Roman"/>
                <w:kern w:val="0"/>
                <w:sz w:val="20"/>
                <w:szCs w:val="20"/>
              </w:rPr>
              <w:t>3</w:t>
            </w:r>
          </w:p>
        </w:tc>
        <w:tc>
          <w:tcPr>
            <w:tcW w:w="891" w:type="pct"/>
            <w:shd w:val="clear" w:color="auto" w:fill="auto"/>
            <w:vAlign w:val="top"/>
          </w:tcPr>
          <w:p w14:paraId="5475C0B0">
            <w:pPr>
              <w:rPr>
                <w:rFonts w:cs="Times New Roman"/>
                <w:kern w:val="0"/>
                <w:sz w:val="20"/>
                <w:szCs w:val="20"/>
              </w:rPr>
            </w:pPr>
            <w:r>
              <w:rPr>
                <w:rFonts w:hint="eastAsia" w:cs="Times New Roman"/>
                <w:kern w:val="0"/>
                <w:sz w:val="20"/>
                <w:szCs w:val="20"/>
              </w:rPr>
              <w:t>电商与物流热潮推动柔性化、快速周转需求</w:t>
            </w:r>
          </w:p>
        </w:tc>
        <w:tc>
          <w:tcPr>
            <w:tcW w:w="3879" w:type="pct"/>
            <w:shd w:val="clear" w:color="auto" w:fill="auto"/>
            <w:vAlign w:val="top"/>
          </w:tcPr>
          <w:p w14:paraId="446E0325">
            <w:pPr>
              <w:rPr>
                <w:rFonts w:cs="Times New Roman"/>
                <w:kern w:val="0"/>
                <w:sz w:val="20"/>
                <w:szCs w:val="20"/>
              </w:rPr>
            </w:pPr>
            <w:r>
              <w:rPr>
                <w:rFonts w:hint="eastAsia" w:cs="Times New Roman"/>
                <w:kern w:val="0"/>
                <w:sz w:val="20"/>
                <w:szCs w:val="20"/>
              </w:rPr>
              <w:t>全球电子商务与第三方物流的爆发式增长，正推动对灵活、小批量、快速交付的纸板隔板需求激增，尤其在化妆品、食品饮料及电子电器领域。投资灵活生产线和数字化订单管理系统的企业，能够满足电商客户对短交期和多样化规格的需求。提供一体化包装解决方案既能降低第三方物流服务商和电商品牌的物流复杂度，优化隔板设计的堆叠性和空间利用率又能降低运输成本——这为企业创造了成为大型电商平台和物流企业首选合作伙伴的机遇。</w:t>
            </w:r>
          </w:p>
        </w:tc>
      </w:tr>
      <w:tr w14:paraId="20CB01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8704974">
            <w:pPr>
              <w:rPr>
                <w:rFonts w:cs="Times New Roman"/>
                <w:kern w:val="0"/>
                <w:sz w:val="20"/>
                <w:szCs w:val="20"/>
              </w:rPr>
            </w:pPr>
            <w:r>
              <w:rPr>
                <w:rFonts w:hint="eastAsia" w:cs="Times New Roman"/>
                <w:kern w:val="0"/>
                <w:sz w:val="20"/>
                <w:szCs w:val="20"/>
              </w:rPr>
              <w:t>4</w:t>
            </w:r>
          </w:p>
        </w:tc>
        <w:tc>
          <w:tcPr>
            <w:tcW w:w="891" w:type="pct"/>
            <w:shd w:val="clear" w:color="auto" w:fill="auto"/>
            <w:vAlign w:val="top"/>
          </w:tcPr>
          <w:p w14:paraId="66BEBDD5">
            <w:pPr>
              <w:rPr>
                <w:rFonts w:cs="Times New Roman"/>
                <w:kern w:val="0"/>
                <w:sz w:val="20"/>
                <w:szCs w:val="20"/>
              </w:rPr>
            </w:pPr>
            <w:r>
              <w:rPr>
                <w:rFonts w:hint="eastAsia" w:cs="Times New Roman"/>
                <w:kern w:val="0"/>
                <w:sz w:val="20"/>
                <w:szCs w:val="20"/>
              </w:rPr>
              <w:t>智能制造与增值服务扩展</w:t>
            </w:r>
          </w:p>
        </w:tc>
        <w:tc>
          <w:tcPr>
            <w:tcW w:w="3879" w:type="pct"/>
            <w:shd w:val="clear" w:color="auto" w:fill="auto"/>
            <w:vAlign w:val="top"/>
          </w:tcPr>
          <w:p w14:paraId="3E85744A">
            <w:pPr>
              <w:rPr>
                <w:rFonts w:cs="Times New Roman"/>
                <w:kern w:val="0"/>
                <w:sz w:val="20"/>
                <w:szCs w:val="20"/>
              </w:rPr>
            </w:pPr>
            <w:r>
              <w:rPr>
                <w:rFonts w:hint="eastAsia" w:cs="Times New Roman"/>
                <w:kern w:val="0"/>
                <w:sz w:val="20"/>
                <w:szCs w:val="20"/>
              </w:rPr>
              <w:t>行业向智能化和数字化转型的趋势，为提升运营效率和拓展高利润增值服务创造了机遇。通过采用人工智能驱动的分区设计工具和物联网自动化生产线升级生产，既能降低生产成本，又能加快交付速度。除制造环节外，企业还可提供端到端包装咨询、全生命周期追溯及使用后回收管理等增值服务。这些服务型模式既能创造持续性收入、深化客户粘性，又能助力企业进入大型下游企业的核心供应链体系——这些企业正迫切需要集成化、可靠的包装解决方案。</w:t>
            </w:r>
          </w:p>
        </w:tc>
      </w:tr>
    </w:tbl>
    <w:p w14:paraId="52D9B266">
      <w:pPr>
        <w:pStyle w:val="143"/>
        <w:rPr>
          <w:lang w:eastAsia="zh-CN"/>
        </w:rPr>
      </w:pPr>
      <w:r>
        <w:rPr>
          <w:rFonts w:hint="eastAsia"/>
          <w:lang w:eastAsia="zh-CN"/>
        </w:rPr>
        <w:t>资料来源：第三方资料、新闻报道、业内专家采访及QYResearch整理研究，2026年</w:t>
      </w:r>
    </w:p>
    <w:p w14:paraId="77044F4A">
      <w:pPr>
        <w:pStyle w:val="151"/>
        <w:numPr>
          <w:ilvl w:val="0"/>
          <w:numId w:val="0"/>
        </w:numPr>
        <w:rPr>
          <w:lang w:eastAsia="zh-CN"/>
        </w:rPr>
      </w:pPr>
      <w:r>
        <w:rPr>
          <w:rFonts w:hint="eastAsia"/>
          <w:lang w:eastAsia="zh-CN"/>
        </w:rPr>
        <w:t xml:space="preserve">表5 </w:t>
      </w:r>
      <w:r>
        <w:rPr>
          <w:lang w:eastAsia="zh-CN"/>
        </w:rPr>
        <w:t>纸板隔板</w:t>
      </w:r>
      <w:r>
        <w:rPr>
          <w:rFonts w:hint="eastAsia"/>
          <w:lang w:eastAsia="zh-CN"/>
        </w:rPr>
        <w:t>行业发展阻碍因素/挑战</w:t>
      </w:r>
    </w:p>
    <w:tbl>
      <w:tblPr>
        <w:tblStyle w:val="43"/>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1775"/>
        <w:gridCol w:w="7729"/>
      </w:tblGrid>
      <w:tr w14:paraId="7BDB36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67FF74F">
            <w:pPr>
              <w:rPr>
                <w:rFonts w:cs="Times New Roman"/>
                <w:b w:val="0"/>
                <w:bCs w:val="0"/>
                <w:color w:val="FFFFFF"/>
                <w:kern w:val="0"/>
                <w:sz w:val="20"/>
                <w:szCs w:val="20"/>
              </w:rPr>
            </w:pPr>
          </w:p>
        </w:tc>
        <w:tc>
          <w:tcPr>
            <w:tcW w:w="891" w:type="pct"/>
            <w:shd w:val="solid" w:color="000080" w:fill="FFFFFF"/>
            <w:vAlign w:val="center"/>
          </w:tcPr>
          <w:p w14:paraId="463F4A45">
            <w:pPr>
              <w:rPr>
                <w:rFonts w:cs="Times New Roman"/>
                <w:b w:val="0"/>
                <w:bCs w:val="0"/>
                <w:color w:val="FFFFFF"/>
                <w:kern w:val="0"/>
                <w:sz w:val="20"/>
                <w:szCs w:val="20"/>
              </w:rPr>
            </w:pPr>
            <w:r>
              <w:rPr>
                <w:rFonts w:hint="eastAsia" w:cs="Times New Roman"/>
                <w:b/>
                <w:bCs/>
                <w:color w:val="FFFFFF"/>
                <w:kern w:val="0"/>
                <w:sz w:val="20"/>
                <w:szCs w:val="20"/>
              </w:rPr>
              <w:t>阻碍因素/挑战</w:t>
            </w:r>
          </w:p>
        </w:tc>
        <w:tc>
          <w:tcPr>
            <w:tcW w:w="3879" w:type="pct"/>
            <w:shd w:val="solid" w:color="000080" w:fill="FFFFFF"/>
            <w:vAlign w:val="center"/>
          </w:tcPr>
          <w:p w14:paraId="0511183B">
            <w:pPr>
              <w:rPr>
                <w:rFonts w:cs="Times New Roman"/>
                <w:b w:val="0"/>
                <w:bCs w:val="0"/>
                <w:color w:val="FFFFFF"/>
                <w:kern w:val="0"/>
                <w:sz w:val="20"/>
                <w:szCs w:val="20"/>
              </w:rPr>
            </w:pPr>
            <w:r>
              <w:rPr>
                <w:rFonts w:hint="eastAsia" w:cs="Times New Roman"/>
                <w:b/>
                <w:bCs/>
                <w:color w:val="FFFFFF"/>
                <w:kern w:val="0"/>
                <w:sz w:val="20"/>
                <w:szCs w:val="20"/>
              </w:rPr>
              <w:t>描述</w:t>
            </w:r>
          </w:p>
        </w:tc>
      </w:tr>
      <w:tr w14:paraId="6E1964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3D10B45">
            <w:pPr>
              <w:rPr>
                <w:rFonts w:cs="Times New Roman"/>
                <w:kern w:val="0"/>
                <w:sz w:val="20"/>
                <w:szCs w:val="20"/>
              </w:rPr>
            </w:pPr>
            <w:r>
              <w:rPr>
                <w:rFonts w:hint="eastAsia" w:cs="Times New Roman"/>
                <w:kern w:val="0"/>
                <w:sz w:val="20"/>
                <w:szCs w:val="20"/>
              </w:rPr>
              <w:t>1</w:t>
            </w:r>
          </w:p>
        </w:tc>
        <w:tc>
          <w:tcPr>
            <w:tcW w:w="891" w:type="pct"/>
            <w:shd w:val="clear" w:color="auto" w:fill="auto"/>
            <w:vAlign w:val="top"/>
          </w:tcPr>
          <w:p w14:paraId="25AA1888">
            <w:pPr>
              <w:rPr>
                <w:rFonts w:cs="Times New Roman"/>
                <w:kern w:val="0"/>
                <w:sz w:val="20"/>
                <w:szCs w:val="20"/>
              </w:rPr>
            </w:pPr>
            <w:r>
              <w:rPr>
                <w:rFonts w:cs="Times New Roman"/>
                <w:kern w:val="0"/>
                <w:sz w:val="20"/>
                <w:szCs w:val="20"/>
              </w:rPr>
              <w:t>原材料波动性与质量限制</w:t>
            </w:r>
          </w:p>
        </w:tc>
        <w:tc>
          <w:tcPr>
            <w:tcW w:w="3879" w:type="pct"/>
            <w:shd w:val="clear" w:color="auto" w:fill="auto"/>
            <w:vAlign w:val="top"/>
          </w:tcPr>
          <w:p w14:paraId="097BD14E">
            <w:pPr>
              <w:rPr>
                <w:rFonts w:cs="Times New Roman"/>
                <w:kern w:val="0"/>
                <w:sz w:val="20"/>
                <w:szCs w:val="20"/>
              </w:rPr>
            </w:pPr>
            <w:r>
              <w:rPr>
                <w:rFonts w:cs="Times New Roman"/>
                <w:kern w:val="0"/>
                <w:sz w:val="20"/>
                <w:szCs w:val="20"/>
              </w:rPr>
              <w:t>该行业对纸浆和再生纸的高度依赖，使其面临全球纸浆市场动态、造纸厂环保生产限制及供应链中断引发的显著价格波动；此外，再生纸质量的不稳定性直接影响隔板的结构强度、缓冲性能和尺寸稳定性，而满足特殊原材料要求则进一步增加了采购难度并推高生产成本。</w:t>
            </w:r>
          </w:p>
        </w:tc>
      </w:tr>
      <w:tr w14:paraId="629C05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F23ABDE">
            <w:pPr>
              <w:rPr>
                <w:rFonts w:cs="Times New Roman"/>
                <w:kern w:val="0"/>
                <w:sz w:val="20"/>
                <w:szCs w:val="20"/>
              </w:rPr>
            </w:pPr>
            <w:r>
              <w:rPr>
                <w:rFonts w:hint="eastAsia" w:cs="Times New Roman"/>
                <w:kern w:val="0"/>
                <w:sz w:val="20"/>
                <w:szCs w:val="20"/>
              </w:rPr>
              <w:t>2</w:t>
            </w:r>
          </w:p>
        </w:tc>
        <w:tc>
          <w:tcPr>
            <w:tcW w:w="891" w:type="pct"/>
            <w:shd w:val="clear" w:color="auto" w:fill="auto"/>
            <w:vAlign w:val="top"/>
          </w:tcPr>
          <w:p w14:paraId="768547F9">
            <w:pPr>
              <w:rPr>
                <w:rFonts w:cs="Times New Roman"/>
                <w:kern w:val="0"/>
                <w:sz w:val="20"/>
                <w:szCs w:val="20"/>
              </w:rPr>
            </w:pPr>
            <w:r>
              <w:rPr>
                <w:rFonts w:cs="Times New Roman"/>
                <w:kern w:val="0"/>
                <w:sz w:val="20"/>
                <w:szCs w:val="20"/>
              </w:rPr>
              <w:t>技术权衡与定制复杂性</w:t>
            </w:r>
          </w:p>
        </w:tc>
        <w:tc>
          <w:tcPr>
            <w:tcW w:w="3879" w:type="pct"/>
            <w:shd w:val="clear" w:color="auto" w:fill="auto"/>
            <w:vAlign w:val="top"/>
          </w:tcPr>
          <w:p w14:paraId="722723F9">
            <w:pPr>
              <w:rPr>
                <w:rFonts w:cs="Times New Roman"/>
                <w:kern w:val="0"/>
                <w:sz w:val="20"/>
                <w:szCs w:val="20"/>
              </w:rPr>
            </w:pPr>
            <w:r>
              <w:rPr>
                <w:rFonts w:cs="Times New Roman"/>
                <w:kern w:val="0"/>
                <w:sz w:val="20"/>
                <w:szCs w:val="20"/>
              </w:rPr>
              <w:t>在平衡核心性能需求时——例如为降低物流成本而追求轻量化、为承载重型汽车部件而要求高结构强度、为保护易碎化妆品/电子产品而需精准缓冲——必然存在技术取舍。针对不同下游行业的定制化解决方案，需频繁更换模切模具、反复调整设计并采用小批量生产，这不仅降低制造效率、延长交付周期，更使得在不增加成本的前提下难以实现高价值定制产品的规模化生产。</w:t>
            </w:r>
          </w:p>
        </w:tc>
      </w:tr>
      <w:tr w14:paraId="6EA3AE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699B33F">
            <w:pPr>
              <w:rPr>
                <w:rFonts w:cs="Times New Roman"/>
                <w:kern w:val="0"/>
                <w:sz w:val="20"/>
                <w:szCs w:val="20"/>
              </w:rPr>
            </w:pPr>
            <w:r>
              <w:rPr>
                <w:rFonts w:hint="eastAsia" w:cs="Times New Roman"/>
                <w:kern w:val="0"/>
                <w:sz w:val="20"/>
                <w:szCs w:val="20"/>
              </w:rPr>
              <w:t>3</w:t>
            </w:r>
          </w:p>
        </w:tc>
        <w:tc>
          <w:tcPr>
            <w:tcW w:w="891" w:type="pct"/>
            <w:shd w:val="clear" w:color="auto" w:fill="auto"/>
            <w:vAlign w:val="top"/>
          </w:tcPr>
          <w:p w14:paraId="217E4810">
            <w:pPr>
              <w:rPr>
                <w:rFonts w:cs="Times New Roman"/>
                <w:kern w:val="0"/>
                <w:sz w:val="20"/>
                <w:szCs w:val="20"/>
              </w:rPr>
            </w:pPr>
            <w:r>
              <w:rPr>
                <w:rFonts w:cs="Times New Roman"/>
                <w:kern w:val="0"/>
                <w:sz w:val="20"/>
                <w:szCs w:val="20"/>
              </w:rPr>
              <w:t>低端市场激烈竞争与利润率压缩</w:t>
            </w:r>
          </w:p>
        </w:tc>
        <w:tc>
          <w:tcPr>
            <w:tcW w:w="3879" w:type="pct"/>
            <w:shd w:val="clear" w:color="auto" w:fill="auto"/>
            <w:vAlign w:val="top"/>
          </w:tcPr>
          <w:p w14:paraId="049F4EEE">
            <w:pPr>
              <w:rPr>
                <w:rFonts w:cs="Times New Roman"/>
                <w:kern w:val="0"/>
                <w:sz w:val="20"/>
                <w:szCs w:val="20"/>
              </w:rPr>
            </w:pPr>
            <w:r>
              <w:rPr>
                <w:rFonts w:cs="Times New Roman"/>
                <w:kern w:val="0"/>
                <w:sz w:val="20"/>
                <w:szCs w:val="20"/>
              </w:rPr>
              <w:t>标准纸板隔板的技术门槛和资本门槛较低，导致小规模制造商大量涌现，引发低端市场的激烈价格竞争；与此同时，下游客户持续施压要求降低采购价格，而原材料、劳动力和能源成本的上涨进一步压缩了利润空间。中小企业缺乏研发资源开发高性能利基产品（如汽车级或防静电隔板），导致其陷入低利润的商品化生产，阻碍了整个行业的升级。</w:t>
            </w:r>
          </w:p>
        </w:tc>
      </w:tr>
      <w:tr w14:paraId="2A03B9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857BA14">
            <w:pPr>
              <w:rPr>
                <w:rFonts w:cs="Times New Roman"/>
                <w:kern w:val="0"/>
                <w:sz w:val="20"/>
                <w:szCs w:val="20"/>
              </w:rPr>
            </w:pPr>
            <w:r>
              <w:rPr>
                <w:rFonts w:hint="eastAsia" w:cs="Times New Roman"/>
                <w:kern w:val="0"/>
                <w:sz w:val="20"/>
                <w:szCs w:val="20"/>
              </w:rPr>
              <w:t>4</w:t>
            </w:r>
          </w:p>
        </w:tc>
        <w:tc>
          <w:tcPr>
            <w:tcW w:w="891" w:type="pct"/>
            <w:shd w:val="clear" w:color="auto" w:fill="auto"/>
            <w:vAlign w:val="top"/>
          </w:tcPr>
          <w:p w14:paraId="788A5705">
            <w:pPr>
              <w:rPr>
                <w:rFonts w:cs="Times New Roman"/>
                <w:kern w:val="0"/>
                <w:sz w:val="20"/>
                <w:szCs w:val="20"/>
              </w:rPr>
            </w:pPr>
            <w:r>
              <w:rPr>
                <w:rFonts w:cs="Times New Roman"/>
                <w:kern w:val="0"/>
                <w:sz w:val="20"/>
                <w:szCs w:val="20"/>
              </w:rPr>
              <w:t>监管碎片化与合规成本</w:t>
            </w:r>
          </w:p>
        </w:tc>
        <w:tc>
          <w:tcPr>
            <w:tcW w:w="3879" w:type="pct"/>
            <w:shd w:val="clear" w:color="auto" w:fill="auto"/>
            <w:vAlign w:val="top"/>
          </w:tcPr>
          <w:p w14:paraId="6E395F23">
            <w:pPr>
              <w:rPr>
                <w:rFonts w:cs="Times New Roman"/>
                <w:kern w:val="0"/>
                <w:sz w:val="20"/>
                <w:szCs w:val="20"/>
              </w:rPr>
            </w:pPr>
            <w:r>
              <w:rPr>
                <w:rFonts w:cs="Times New Roman"/>
                <w:kern w:val="0"/>
                <w:sz w:val="20"/>
                <w:szCs w:val="20"/>
              </w:rPr>
              <w:t>行业面临跨区域、跨领域的碎片化监管框架：食品饮料隔板适用不同接触安全标准，电子电气应用对ESD性能要求严苛，包装废弃物回收含量规定与生产者延伸责任规则各异； 获取绿色认证及第三方性能验证耗时耗资，中小企业尤为如此；而隔板结构性能与可回收性缺乏全球统一标准，更使跨境供应链合规性复杂化，限制了市场拓展与创新空间。</w:t>
            </w:r>
          </w:p>
        </w:tc>
      </w:tr>
    </w:tbl>
    <w:p w14:paraId="61DC13B8">
      <w:pPr>
        <w:pStyle w:val="143"/>
        <w:rPr>
          <w:lang w:eastAsia="zh-CN"/>
        </w:rPr>
      </w:pPr>
      <w:r>
        <w:rPr>
          <w:rFonts w:hint="eastAsia"/>
          <w:lang w:eastAsia="zh-CN"/>
        </w:rPr>
        <w:t>资料来源：第三方资料、新闻报道、业内专家采访及QYResearch整理研究，2026年</w:t>
      </w:r>
    </w:p>
    <w:bookmarkEnd w:id="0"/>
    <w:bookmarkEnd w:id="1"/>
    <w:bookmarkEnd w:id="2"/>
    <w:bookmarkEnd w:id="3"/>
    <w:bookmarkEnd w:id="4"/>
    <w:bookmarkEnd w:id="5"/>
    <w:bookmarkEnd w:id="6"/>
    <w:bookmarkEnd w:id="7"/>
    <w:bookmarkEnd w:id="8"/>
    <w:bookmarkEnd w:id="9"/>
    <w:bookmarkEnd w:id="10"/>
    <w:bookmarkEnd w:id="11"/>
    <w:bookmarkEnd w:id="12"/>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auto"/>
    <w:pitch w:val="default"/>
    <w:sig w:usb0="00000000" w:usb1="00000000"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498"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2D7"/>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C5E"/>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3F10"/>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3F7F"/>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D4C"/>
    <w:rsid w:val="00050E1E"/>
    <w:rsid w:val="0005117A"/>
    <w:rsid w:val="00051275"/>
    <w:rsid w:val="000518D6"/>
    <w:rsid w:val="00051E47"/>
    <w:rsid w:val="00051E87"/>
    <w:rsid w:val="00051E9F"/>
    <w:rsid w:val="00051EA1"/>
    <w:rsid w:val="000520FB"/>
    <w:rsid w:val="0005213D"/>
    <w:rsid w:val="000524E5"/>
    <w:rsid w:val="000526B0"/>
    <w:rsid w:val="00052ADC"/>
    <w:rsid w:val="00052B62"/>
    <w:rsid w:val="00052BA9"/>
    <w:rsid w:val="00052BEA"/>
    <w:rsid w:val="00052CEB"/>
    <w:rsid w:val="00052F03"/>
    <w:rsid w:val="00053155"/>
    <w:rsid w:val="000532AE"/>
    <w:rsid w:val="000533DC"/>
    <w:rsid w:val="00053424"/>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2FF"/>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5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B8F"/>
    <w:rsid w:val="00076D7D"/>
    <w:rsid w:val="00076DE7"/>
    <w:rsid w:val="0007715D"/>
    <w:rsid w:val="00077246"/>
    <w:rsid w:val="00077774"/>
    <w:rsid w:val="00077888"/>
    <w:rsid w:val="00077E70"/>
    <w:rsid w:val="000803B1"/>
    <w:rsid w:val="00080816"/>
    <w:rsid w:val="00080CA5"/>
    <w:rsid w:val="00081305"/>
    <w:rsid w:val="000814E4"/>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266"/>
    <w:rsid w:val="00097308"/>
    <w:rsid w:val="00097657"/>
    <w:rsid w:val="000977E2"/>
    <w:rsid w:val="000978CD"/>
    <w:rsid w:val="00097C01"/>
    <w:rsid w:val="00097C7C"/>
    <w:rsid w:val="00097DF1"/>
    <w:rsid w:val="00097FEF"/>
    <w:rsid w:val="00097FF4"/>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70"/>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699"/>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66"/>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7B8"/>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3E"/>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0D"/>
    <w:rsid w:val="00111C6C"/>
    <w:rsid w:val="00111D2D"/>
    <w:rsid w:val="001120B8"/>
    <w:rsid w:val="00112295"/>
    <w:rsid w:val="0011256C"/>
    <w:rsid w:val="00112597"/>
    <w:rsid w:val="00112B22"/>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4A0"/>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55"/>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6E45"/>
    <w:rsid w:val="00177020"/>
    <w:rsid w:val="00177492"/>
    <w:rsid w:val="0017751A"/>
    <w:rsid w:val="00177C38"/>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3DC"/>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7CF"/>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BF2"/>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320"/>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51"/>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C"/>
    <w:rsid w:val="00251CCF"/>
    <w:rsid w:val="00251EC4"/>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80"/>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EAC"/>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97D"/>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AEF"/>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9CC"/>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0CA7"/>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2E70"/>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581"/>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B75"/>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7C7"/>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68"/>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1E5A"/>
    <w:rsid w:val="003222B2"/>
    <w:rsid w:val="0032233A"/>
    <w:rsid w:val="0032252E"/>
    <w:rsid w:val="00322721"/>
    <w:rsid w:val="00322960"/>
    <w:rsid w:val="00322BA7"/>
    <w:rsid w:val="00322D00"/>
    <w:rsid w:val="00322D2F"/>
    <w:rsid w:val="00322FBE"/>
    <w:rsid w:val="003233B0"/>
    <w:rsid w:val="00323AAB"/>
    <w:rsid w:val="00323B90"/>
    <w:rsid w:val="0032423E"/>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06"/>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09A"/>
    <w:rsid w:val="003532D6"/>
    <w:rsid w:val="003532FD"/>
    <w:rsid w:val="00353500"/>
    <w:rsid w:val="00353653"/>
    <w:rsid w:val="003537ED"/>
    <w:rsid w:val="00353B99"/>
    <w:rsid w:val="00353DD1"/>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29"/>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658"/>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70"/>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6C"/>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264"/>
    <w:rsid w:val="003E04D5"/>
    <w:rsid w:val="003E060F"/>
    <w:rsid w:val="003E067E"/>
    <w:rsid w:val="003E087D"/>
    <w:rsid w:val="003E0C1F"/>
    <w:rsid w:val="003E0CAC"/>
    <w:rsid w:val="003E0DBF"/>
    <w:rsid w:val="003E0E8B"/>
    <w:rsid w:val="003E1319"/>
    <w:rsid w:val="003E180C"/>
    <w:rsid w:val="003E19EF"/>
    <w:rsid w:val="003E1D2C"/>
    <w:rsid w:val="003E1D69"/>
    <w:rsid w:val="003E1DF5"/>
    <w:rsid w:val="003E1E79"/>
    <w:rsid w:val="003E200F"/>
    <w:rsid w:val="003E208D"/>
    <w:rsid w:val="003E2739"/>
    <w:rsid w:val="003E2B5D"/>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5FCD"/>
    <w:rsid w:val="003E6186"/>
    <w:rsid w:val="003E61B6"/>
    <w:rsid w:val="003E62CB"/>
    <w:rsid w:val="003E654B"/>
    <w:rsid w:val="003E65AD"/>
    <w:rsid w:val="003E66DB"/>
    <w:rsid w:val="003E68A3"/>
    <w:rsid w:val="003E6CE0"/>
    <w:rsid w:val="003E7514"/>
    <w:rsid w:val="003E762B"/>
    <w:rsid w:val="003E7761"/>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33F"/>
    <w:rsid w:val="0041288E"/>
    <w:rsid w:val="00412A8A"/>
    <w:rsid w:val="00412AF2"/>
    <w:rsid w:val="00412DD9"/>
    <w:rsid w:val="00412E2C"/>
    <w:rsid w:val="004130C5"/>
    <w:rsid w:val="0041335F"/>
    <w:rsid w:val="00413456"/>
    <w:rsid w:val="004134C8"/>
    <w:rsid w:val="00413999"/>
    <w:rsid w:val="00413B7E"/>
    <w:rsid w:val="00413E60"/>
    <w:rsid w:val="004140C1"/>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6EA5"/>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0CA"/>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216"/>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507"/>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6C3"/>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057"/>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CD6"/>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06F"/>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BA"/>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59D"/>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977"/>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CC5"/>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9B"/>
    <w:rsid w:val="00574CBE"/>
    <w:rsid w:val="00574D00"/>
    <w:rsid w:val="00575048"/>
    <w:rsid w:val="005750A4"/>
    <w:rsid w:val="0057525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AD4"/>
    <w:rsid w:val="00590B7E"/>
    <w:rsid w:val="00590D37"/>
    <w:rsid w:val="00590E44"/>
    <w:rsid w:val="00590FD6"/>
    <w:rsid w:val="00591065"/>
    <w:rsid w:val="0059134F"/>
    <w:rsid w:val="00591563"/>
    <w:rsid w:val="00591CBC"/>
    <w:rsid w:val="00591FC4"/>
    <w:rsid w:val="005920DE"/>
    <w:rsid w:val="00592416"/>
    <w:rsid w:val="0059297D"/>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E1A"/>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A7BE3"/>
    <w:rsid w:val="005B0109"/>
    <w:rsid w:val="005B0C6E"/>
    <w:rsid w:val="005B1006"/>
    <w:rsid w:val="005B113B"/>
    <w:rsid w:val="005B122E"/>
    <w:rsid w:val="005B12DF"/>
    <w:rsid w:val="005B14D3"/>
    <w:rsid w:val="005B17E8"/>
    <w:rsid w:val="005B1993"/>
    <w:rsid w:val="005B1BDD"/>
    <w:rsid w:val="005B1CEC"/>
    <w:rsid w:val="005B1E34"/>
    <w:rsid w:val="005B2052"/>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5D00"/>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AC9"/>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959"/>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8E1"/>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668"/>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2F2D"/>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4F6"/>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CBA"/>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5C11"/>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01"/>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BA2"/>
    <w:rsid w:val="00650CA9"/>
    <w:rsid w:val="00650CC3"/>
    <w:rsid w:val="006511C7"/>
    <w:rsid w:val="0065129E"/>
    <w:rsid w:val="00651514"/>
    <w:rsid w:val="00651819"/>
    <w:rsid w:val="00651884"/>
    <w:rsid w:val="00651949"/>
    <w:rsid w:val="00651C0E"/>
    <w:rsid w:val="00651D9C"/>
    <w:rsid w:val="00651E0D"/>
    <w:rsid w:val="0065269F"/>
    <w:rsid w:val="00652955"/>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CAB"/>
    <w:rsid w:val="00663D58"/>
    <w:rsid w:val="00663EAB"/>
    <w:rsid w:val="00663FCA"/>
    <w:rsid w:val="00663FFC"/>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0F6"/>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308"/>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4D6"/>
    <w:rsid w:val="006C0780"/>
    <w:rsid w:val="006C0EB2"/>
    <w:rsid w:val="006C0EBF"/>
    <w:rsid w:val="006C0FF2"/>
    <w:rsid w:val="006C1008"/>
    <w:rsid w:val="006C1134"/>
    <w:rsid w:val="006C138E"/>
    <w:rsid w:val="006C14BE"/>
    <w:rsid w:val="006C18DB"/>
    <w:rsid w:val="006C1CCD"/>
    <w:rsid w:val="006C1CD1"/>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9F"/>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B80"/>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D7E52"/>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2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46C"/>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3F72"/>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37B"/>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536"/>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95A"/>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43C"/>
    <w:rsid w:val="00761589"/>
    <w:rsid w:val="00761BCD"/>
    <w:rsid w:val="00761FEB"/>
    <w:rsid w:val="007625CC"/>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25A"/>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6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1D3"/>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186"/>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2E39"/>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955"/>
    <w:rsid w:val="007D2CA3"/>
    <w:rsid w:val="007D2F31"/>
    <w:rsid w:val="007D3068"/>
    <w:rsid w:val="007D32BF"/>
    <w:rsid w:val="007D3336"/>
    <w:rsid w:val="007D34A8"/>
    <w:rsid w:val="007D3907"/>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2B3"/>
    <w:rsid w:val="007E77B4"/>
    <w:rsid w:val="007E7810"/>
    <w:rsid w:val="007E7A84"/>
    <w:rsid w:val="007E7A98"/>
    <w:rsid w:val="007E7B7F"/>
    <w:rsid w:val="007E7C96"/>
    <w:rsid w:val="007E7D33"/>
    <w:rsid w:val="007F0332"/>
    <w:rsid w:val="007F05B3"/>
    <w:rsid w:val="007F05EB"/>
    <w:rsid w:val="007F06F0"/>
    <w:rsid w:val="007F07B7"/>
    <w:rsid w:val="007F0A1E"/>
    <w:rsid w:val="007F0A26"/>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7F"/>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2AF"/>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6BF"/>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0EA5"/>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4A9"/>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5B5"/>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4E01"/>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590"/>
    <w:rsid w:val="00906A45"/>
    <w:rsid w:val="00906BCF"/>
    <w:rsid w:val="00906DDB"/>
    <w:rsid w:val="00906F3D"/>
    <w:rsid w:val="009070FF"/>
    <w:rsid w:val="0090722B"/>
    <w:rsid w:val="009076B9"/>
    <w:rsid w:val="00907A1A"/>
    <w:rsid w:val="00907B5D"/>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4E9"/>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6ED7"/>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2DB5"/>
    <w:rsid w:val="0092315D"/>
    <w:rsid w:val="009231B8"/>
    <w:rsid w:val="00923480"/>
    <w:rsid w:val="009238EA"/>
    <w:rsid w:val="0092398C"/>
    <w:rsid w:val="009239B1"/>
    <w:rsid w:val="00923C3E"/>
    <w:rsid w:val="00923D0F"/>
    <w:rsid w:val="00923F8D"/>
    <w:rsid w:val="009243E9"/>
    <w:rsid w:val="00924530"/>
    <w:rsid w:val="0092456E"/>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3D3E"/>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8A0"/>
    <w:rsid w:val="00956A59"/>
    <w:rsid w:val="00956C97"/>
    <w:rsid w:val="00957059"/>
    <w:rsid w:val="00957375"/>
    <w:rsid w:val="009574DE"/>
    <w:rsid w:val="00957C3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7AF"/>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2F7"/>
    <w:rsid w:val="009733AB"/>
    <w:rsid w:val="009735DA"/>
    <w:rsid w:val="009735EC"/>
    <w:rsid w:val="009738BE"/>
    <w:rsid w:val="00973989"/>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77DDF"/>
    <w:rsid w:val="0098041B"/>
    <w:rsid w:val="0098096A"/>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15"/>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EFE"/>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A1A"/>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BFD"/>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9C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2EB"/>
    <w:rsid w:val="009C5618"/>
    <w:rsid w:val="009C566B"/>
    <w:rsid w:val="009C59C8"/>
    <w:rsid w:val="009C5ADA"/>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D57"/>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0D9"/>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B41"/>
    <w:rsid w:val="00A07D3A"/>
    <w:rsid w:val="00A103A9"/>
    <w:rsid w:val="00A10482"/>
    <w:rsid w:val="00A10561"/>
    <w:rsid w:val="00A10676"/>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4DA"/>
    <w:rsid w:val="00A15639"/>
    <w:rsid w:val="00A159B7"/>
    <w:rsid w:val="00A15B5E"/>
    <w:rsid w:val="00A15BB4"/>
    <w:rsid w:val="00A15EDC"/>
    <w:rsid w:val="00A163AC"/>
    <w:rsid w:val="00A16B8A"/>
    <w:rsid w:val="00A16F00"/>
    <w:rsid w:val="00A17A8E"/>
    <w:rsid w:val="00A17E00"/>
    <w:rsid w:val="00A17EBC"/>
    <w:rsid w:val="00A201E2"/>
    <w:rsid w:val="00A205C7"/>
    <w:rsid w:val="00A205FC"/>
    <w:rsid w:val="00A2060F"/>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0B5"/>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06"/>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C"/>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B7E"/>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3F8A"/>
    <w:rsid w:val="00A5418B"/>
    <w:rsid w:val="00A543AC"/>
    <w:rsid w:val="00A545AD"/>
    <w:rsid w:val="00A54690"/>
    <w:rsid w:val="00A546F3"/>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4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359"/>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70"/>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443"/>
    <w:rsid w:val="00A93660"/>
    <w:rsid w:val="00A9373A"/>
    <w:rsid w:val="00A93B4B"/>
    <w:rsid w:val="00A93CBF"/>
    <w:rsid w:val="00A93DB4"/>
    <w:rsid w:val="00A93E79"/>
    <w:rsid w:val="00A93F36"/>
    <w:rsid w:val="00A93F78"/>
    <w:rsid w:val="00A94393"/>
    <w:rsid w:val="00A946AB"/>
    <w:rsid w:val="00A94703"/>
    <w:rsid w:val="00A94C6B"/>
    <w:rsid w:val="00A94D96"/>
    <w:rsid w:val="00A94EA3"/>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4A3"/>
    <w:rsid w:val="00AD1608"/>
    <w:rsid w:val="00AD16CC"/>
    <w:rsid w:val="00AD1842"/>
    <w:rsid w:val="00AD1876"/>
    <w:rsid w:val="00AD1AD7"/>
    <w:rsid w:val="00AD1BB4"/>
    <w:rsid w:val="00AD1EC0"/>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45B"/>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5DAE"/>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4E3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CB"/>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0EB"/>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6D85"/>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6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337"/>
    <w:rsid w:val="00B8072F"/>
    <w:rsid w:val="00B8080C"/>
    <w:rsid w:val="00B80CE0"/>
    <w:rsid w:val="00B80DE6"/>
    <w:rsid w:val="00B8105F"/>
    <w:rsid w:val="00B810E4"/>
    <w:rsid w:val="00B8111F"/>
    <w:rsid w:val="00B8116E"/>
    <w:rsid w:val="00B811A9"/>
    <w:rsid w:val="00B812E1"/>
    <w:rsid w:val="00B81422"/>
    <w:rsid w:val="00B81998"/>
    <w:rsid w:val="00B81BEE"/>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62D"/>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3F96"/>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BA1"/>
    <w:rsid w:val="00BA2C87"/>
    <w:rsid w:val="00BA2F01"/>
    <w:rsid w:val="00BA2FFF"/>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8BE"/>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6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9A9"/>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EE9"/>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8DB"/>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282"/>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7F4"/>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4B2"/>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1AC"/>
    <w:rsid w:val="00CA52CA"/>
    <w:rsid w:val="00CA5558"/>
    <w:rsid w:val="00CA5630"/>
    <w:rsid w:val="00CA578C"/>
    <w:rsid w:val="00CA57CD"/>
    <w:rsid w:val="00CA59DF"/>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7B"/>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55"/>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3E1"/>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D08"/>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5F98"/>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490"/>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3C4"/>
    <w:rsid w:val="00D25A1E"/>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319"/>
    <w:rsid w:val="00D41438"/>
    <w:rsid w:val="00D4183B"/>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437"/>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83"/>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3F2C"/>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B8D"/>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4FA"/>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BAE"/>
    <w:rsid w:val="00E03C02"/>
    <w:rsid w:val="00E04369"/>
    <w:rsid w:val="00E0465C"/>
    <w:rsid w:val="00E04769"/>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E73"/>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D75"/>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6F98"/>
    <w:rsid w:val="00E3709E"/>
    <w:rsid w:val="00E370FA"/>
    <w:rsid w:val="00E3716C"/>
    <w:rsid w:val="00E371FF"/>
    <w:rsid w:val="00E37418"/>
    <w:rsid w:val="00E37430"/>
    <w:rsid w:val="00E3754D"/>
    <w:rsid w:val="00E376CF"/>
    <w:rsid w:val="00E37C4D"/>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3E85"/>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DEE"/>
    <w:rsid w:val="00E64F0F"/>
    <w:rsid w:val="00E64F11"/>
    <w:rsid w:val="00E64FF4"/>
    <w:rsid w:val="00E65251"/>
    <w:rsid w:val="00E65503"/>
    <w:rsid w:val="00E65A33"/>
    <w:rsid w:val="00E65F70"/>
    <w:rsid w:val="00E65FDE"/>
    <w:rsid w:val="00E6620A"/>
    <w:rsid w:val="00E664D4"/>
    <w:rsid w:val="00E6729D"/>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D91"/>
    <w:rsid w:val="00E72EC0"/>
    <w:rsid w:val="00E72F16"/>
    <w:rsid w:val="00E73700"/>
    <w:rsid w:val="00E73A84"/>
    <w:rsid w:val="00E74222"/>
    <w:rsid w:val="00E7474F"/>
    <w:rsid w:val="00E747E3"/>
    <w:rsid w:val="00E748DF"/>
    <w:rsid w:val="00E74C1F"/>
    <w:rsid w:val="00E74F5E"/>
    <w:rsid w:val="00E74FE8"/>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2FC6"/>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5B4"/>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130"/>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2D"/>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93"/>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DE7"/>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6EE3"/>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805"/>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D07"/>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3E7"/>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3EF"/>
    <w:rsid w:val="00FB041A"/>
    <w:rsid w:val="00FB0657"/>
    <w:rsid w:val="00FB0778"/>
    <w:rsid w:val="00FB0C5B"/>
    <w:rsid w:val="00FB0CE5"/>
    <w:rsid w:val="00FB0EC3"/>
    <w:rsid w:val="00FB104D"/>
    <w:rsid w:val="00FB11A7"/>
    <w:rsid w:val="00FB1486"/>
    <w:rsid w:val="00FB1845"/>
    <w:rsid w:val="00FB1A3A"/>
    <w:rsid w:val="00FB1CD2"/>
    <w:rsid w:val="00FB1CE8"/>
    <w:rsid w:val="00FB1E65"/>
    <w:rsid w:val="00FB238E"/>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2F1"/>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04"/>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96"/>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1FC33CC"/>
    <w:rsid w:val="38612B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qFormat="1" w:uiPriority="39" w:semiHidden="0" w:name="toc 7"/>
    <w:lsdException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ind w:left="357"/>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 w:type="paragraph" w:customStyle="1" w:styleId="205">
    <w:name w:val="表"/>
    <w:basedOn w:val="148"/>
    <w:link w:val="206"/>
    <w:qFormat/>
    <w:uiPriority w:val="0"/>
    <w:rPr>
      <w:lang w:eastAsia="zh-CN"/>
    </w:rPr>
  </w:style>
  <w:style w:type="character" w:customStyle="1" w:styleId="206">
    <w:name w:val="表 字符"/>
    <w:basedOn w:val="150"/>
    <w:link w:val="205"/>
    <w:uiPriority w:val="0"/>
    <w:rPr>
      <w:rFonts w:ascii="Tahoma" w:hAnsi="Tahoma" w:eastAsia="宋体" w:cs="Arial"/>
      <w:color w:val="FF8200"/>
      <w:kern w:val="0"/>
      <w:sz w:val="22"/>
      <w:szCs w:val="22"/>
      <w:lang w:eastAsia="en-US"/>
    </w:rPr>
  </w:style>
  <w:style w:type="paragraph" w:customStyle="1" w:styleId="207">
    <w:name w:val="表.   Table S"/>
    <w:basedOn w:val="151"/>
    <w:link w:val="208"/>
    <w:qFormat/>
    <w:uiPriority w:val="0"/>
    <w:pPr>
      <w:widowControl w:val="0"/>
      <w:spacing w:line="288" w:lineRule="auto"/>
      <w:ind w:left="252" w:right="-105" w:rightChars="-50" w:hanging="357"/>
    </w:pPr>
    <w:rPr>
      <w:u w:val="single"/>
      <w:lang w:eastAsia="zh-CN"/>
    </w:rPr>
  </w:style>
  <w:style w:type="character" w:customStyle="1" w:styleId="208">
    <w:name w:val="表.   Table S 字符"/>
    <w:basedOn w:val="168"/>
    <w:link w:val="207"/>
    <w:qFormat/>
    <w:uiPriority w:val="0"/>
    <w:rPr>
      <w:rFonts w:ascii="Tahoma" w:hAnsi="Tahoma" w:eastAsia="宋体" w:cs="Calibri"/>
      <w:caps w:val="0"/>
      <w:color w:val="FF8200"/>
      <w:spacing w:val="-3"/>
      <w:kern w:val="0"/>
      <w:sz w:val="40"/>
      <w:szCs w:val="22"/>
      <w:u w:val="single"/>
      <w:lang w:val="en-IN" w:eastAsia="en-IN"/>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7</Pages>
  <Words>2026</Words>
  <Characters>2264</Characters>
  <Lines>106</Lines>
  <Paragraphs>34</Paragraphs>
  <TotalTime>11</TotalTime>
  <ScaleCrop>false</ScaleCrop>
  <LinksUpToDate>false</LinksUpToDate>
  <CharactersWithSpaces>2287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2026-01-23T07:44:00Z</dcterms:created>
  <dc:creator>yangj</dc:creator>
  <cp:lastModifiedBy>鼕鼕</cp:lastModifiedBy>
  <dcterms:modified xsi:type="dcterms:W3CDTF">2026-02-05T09:44:58Z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2052-12.1.0.24657</vt:lpwstr>
  </property>
  <property fmtid="{D5CDD505-2E9C-101B-9397-08002B2CF9AE}" pid="4" name="ICV">
    <vt:lpwstr>1A969F809ED44BD6BB3F03CC2BAC5C79_12</vt:lpwstr>
  </property>
</Properties>
</file>