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D556D">
      <w:pPr>
        <w:pStyle w:val="2"/>
        <w:rPr>
          <w:lang w:eastAsia="zh-CN"/>
        </w:rPr>
      </w:pPr>
      <w:bookmarkStart w:id="0" w:name="_Hlk176269009"/>
      <w:bookmarkStart w:id="1" w:name="_Toc438987549"/>
      <w:bookmarkStart w:id="2" w:name="_Toc517262917"/>
      <w:bookmarkStart w:id="3" w:name="_Toc453597319"/>
      <w:bookmarkStart w:id="4" w:name="_Toc481801204"/>
      <w:bookmarkStart w:id="5" w:name="_Toc418070112"/>
      <w:bookmarkStart w:id="6" w:name="OLE_LINK39"/>
      <w:bookmarkStart w:id="7" w:name="OLE_LINK15"/>
      <w:bookmarkStart w:id="8" w:name="OLE_LINK13"/>
      <w:bookmarkStart w:id="9" w:name="_Toc415143481"/>
      <w:bookmarkStart w:id="10" w:name="_Toc415818939"/>
      <w:bookmarkStart w:id="11" w:name="_Toc415142861"/>
      <w:bookmarkStart w:id="12" w:name="OLE_LINK40"/>
      <w:bookmarkStart w:id="13" w:name="OLE_LINK24"/>
      <w:r>
        <w:rPr>
          <w:rFonts w:hint="eastAsia"/>
          <w:lang w:eastAsia="zh-CN"/>
        </w:rPr>
        <w:t>减肥管理的定义</w:t>
      </w:r>
    </w:p>
    <w:p w14:paraId="2BAE83C7">
      <w:pPr>
        <w:pStyle w:val="145"/>
        <w:rPr>
          <w:rFonts w:hint="eastAsia"/>
          <w:lang w:eastAsia="zh-CN"/>
        </w:rPr>
      </w:pPr>
      <w:r>
        <w:rPr>
          <w:rFonts w:hint="eastAsia"/>
          <w:lang w:eastAsia="zh-CN"/>
        </w:rPr>
        <w:t>减肥管理是通过饮食控制、运动计划、生活方式调节和行为监测等方法，实现体重下降、脂肪减少与健康指标改善的系统性过程，强调长期可持续与科学管理。</w:t>
      </w:r>
    </w:p>
    <w:p w14:paraId="426570F3">
      <w:pPr>
        <w:pStyle w:val="148"/>
        <w:rPr>
          <w:lang w:eastAsia="zh-CN"/>
        </w:rPr>
      </w:pPr>
      <w:r>
        <w:rPr>
          <w:rFonts w:hint="eastAsia"/>
          <w:lang w:eastAsia="zh-CN"/>
        </w:rPr>
        <w:t>产品图片</w:t>
      </w:r>
      <w:bookmarkEnd w:id="0"/>
    </w:p>
    <w:p w14:paraId="57B18BEE">
      <w:pPr>
        <w:pStyle w:val="145"/>
        <w:rPr>
          <w:lang w:eastAsia="zh-CN"/>
        </w:rPr>
      </w:pPr>
      <w:r>
        <w:rPr>
          <w:lang w:eastAsia="zh-CN"/>
        </w:rPr>
        <w:drawing>
          <wp:inline distT="0" distB="0" distL="0" distR="0">
            <wp:extent cx="3695700" cy="2904490"/>
            <wp:effectExtent l="0" t="0" r="0" b="0"/>
            <wp:docPr id="9318454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45447" name="图片 1"/>
                    <pic:cNvPicPr>
                      <a:picLocks noChangeAspect="1"/>
                    </pic:cNvPicPr>
                  </pic:nvPicPr>
                  <pic:blipFill>
                    <a:blip r:embed="rId9"/>
                    <a:stretch>
                      <a:fillRect/>
                    </a:stretch>
                  </pic:blipFill>
                  <pic:spPr>
                    <a:xfrm>
                      <a:off x="0" y="0"/>
                      <a:ext cx="3703611" cy="2910908"/>
                    </a:xfrm>
                    <a:prstGeom prst="rect">
                      <a:avLst/>
                    </a:prstGeom>
                  </pic:spPr>
                </pic:pic>
              </a:graphicData>
            </a:graphic>
          </wp:inline>
        </w:drawing>
      </w:r>
    </w:p>
    <w:p w14:paraId="2E793741">
      <w:pPr>
        <w:pStyle w:val="2"/>
        <w:rPr>
          <w:lang w:eastAsia="zh-CN"/>
        </w:rPr>
      </w:pPr>
      <w:r>
        <w:rPr>
          <w:rFonts w:hint="eastAsia"/>
          <w:lang w:eastAsia="zh-CN"/>
        </w:rPr>
        <w:t>全球市场规模、分类和应用市场情况及预测（2020-2031）</w:t>
      </w:r>
    </w:p>
    <w:p w14:paraId="3F6C2722">
      <w:pPr>
        <w:pStyle w:val="148"/>
        <w:rPr>
          <w:lang w:eastAsia="zh-CN"/>
        </w:rPr>
      </w:pPr>
      <w:r>
        <w:rPr>
          <w:lang w:eastAsia="zh-CN"/>
        </w:rPr>
        <w:t>减肥管理</w:t>
      </w:r>
      <w:r>
        <w:rPr>
          <w:rFonts w:hint="eastAsia"/>
          <w:lang w:eastAsia="zh-CN"/>
        </w:rPr>
        <w:t>，全球市场总体规模</w:t>
      </w:r>
    </w:p>
    <w:p w14:paraId="43BAAE22">
      <w:pPr>
        <w:pStyle w:val="145"/>
        <w:rPr>
          <w:lang w:val="en-US" w:eastAsia="zh-CN"/>
        </w:rPr>
      </w:pPr>
      <w:r>
        <w:rPr>
          <w:lang w:val="en-US" w:eastAsia="zh-CN"/>
        </w:rPr>
        <w:drawing>
          <wp:inline distT="0" distB="0" distL="0" distR="0">
            <wp:extent cx="6134100" cy="2642870"/>
            <wp:effectExtent l="0" t="0" r="0" b="5080"/>
            <wp:docPr id="20652961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296116"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49247" cy="2649921"/>
                    </a:xfrm>
                    <a:prstGeom prst="rect">
                      <a:avLst/>
                    </a:prstGeom>
                    <a:noFill/>
                  </pic:spPr>
                </pic:pic>
              </a:graphicData>
            </a:graphic>
          </wp:inline>
        </w:drawing>
      </w:r>
    </w:p>
    <w:p w14:paraId="12FD9BEF">
      <w:pPr>
        <w:pStyle w:val="143"/>
      </w:pPr>
      <w:r>
        <w:rPr>
          <w:rFonts w:hint="eastAsia"/>
        </w:rPr>
        <w:t>来源：QYResearch软件和商业服务研究中心</w:t>
      </w:r>
    </w:p>
    <w:p w14:paraId="438056FC">
      <w:pPr>
        <w:pStyle w:val="143"/>
      </w:pPr>
      <w:r>
        <w:rPr>
          <w:rFonts w:hint="eastAsia" w:ascii="Tahoma" w:hAnsi="Tahoma" w:eastAsia="宋体"/>
          <w:i w:val="0"/>
          <w:iCs w:val="0"/>
          <w:sz w:val="21"/>
        </w:rPr>
        <w:t>据QYResearch调研团队最新报告“全球减肥管理市场报告2025-2031”显示，预计2031年全球减肥管理市场规模将达到2741.9亿美元，未来几年年复合增长率CAGR为2.4%。</w:t>
      </w:r>
    </w:p>
    <w:p w14:paraId="021CF93A">
      <w:pPr>
        <w:widowControl/>
        <w:topLinePunct w:val="0"/>
        <w:spacing w:after="0"/>
        <w:jc w:val="left"/>
        <w:rPr>
          <w:rFonts w:ascii="Book Antiqua" w:hAnsi="Book Antiqua" w:cs="宋体"/>
          <w:kern w:val="0"/>
          <w:sz w:val="24"/>
          <w:szCs w:val="24"/>
        </w:rPr>
      </w:pPr>
      <w:r>
        <w:rPr>
          <w:rFonts w:ascii="Book Antiqua" w:hAnsi="Book Antiqua" w:cs="宋体"/>
          <w:i/>
          <w:sz w:val="24"/>
          <w:szCs w:val="24"/>
        </w:rPr>
        <w:br w:type="page"/>
      </w:r>
    </w:p>
    <w:p w14:paraId="773AFA33">
      <w:pPr>
        <w:pStyle w:val="148"/>
        <w:rPr>
          <w:lang w:eastAsia="zh-CN"/>
        </w:rPr>
      </w:pPr>
      <w:r>
        <w:rPr>
          <w:rFonts w:hint="eastAsia"/>
          <w:lang w:eastAsia="zh-CN"/>
        </w:rPr>
        <w:t>全球</w:t>
      </w:r>
      <w:r>
        <w:rPr>
          <w:lang w:eastAsia="zh-CN"/>
        </w:rPr>
        <w:t>减肥管理</w:t>
      </w:r>
      <w:r>
        <w:rPr>
          <w:rFonts w:hint="eastAsia"/>
          <w:lang w:eastAsia="zh-CN"/>
        </w:rPr>
        <w:t>市场前27强生产商市场规模</w:t>
      </w:r>
    </w:p>
    <w:p w14:paraId="0E9936B0">
      <w:pPr>
        <w:pStyle w:val="143"/>
        <w:jc w:val="center"/>
        <w:rPr>
          <w:lang w:val="en-US"/>
        </w:rPr>
      </w:pPr>
      <w:r>
        <w:rPr>
          <w:lang w:val="en-US"/>
        </w:rPr>
        <w:drawing>
          <wp:inline distT="0" distB="0" distL="0" distR="0">
            <wp:extent cx="6456045" cy="3188335"/>
            <wp:effectExtent l="0" t="0" r="1905" b="0"/>
            <wp:docPr id="214456690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566909"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456045" cy="3188335"/>
                    </a:xfrm>
                    <a:prstGeom prst="rect">
                      <a:avLst/>
                    </a:prstGeom>
                    <a:noFill/>
                  </pic:spPr>
                </pic:pic>
              </a:graphicData>
            </a:graphic>
          </wp:inline>
        </w:drawing>
      </w:r>
    </w:p>
    <w:p w14:paraId="78220C52">
      <w:pPr>
        <w:pStyle w:val="143"/>
      </w:pPr>
      <w:r>
        <w:rPr>
          <w:rFonts w:hint="eastAsia"/>
        </w:rPr>
        <w:t>来源：QYResearch软件和商业服务研究中心</w:t>
      </w:r>
    </w:p>
    <w:p w14:paraId="3D3F10B7">
      <w:pPr>
        <w:pStyle w:val="145"/>
        <w:rPr>
          <w:lang w:eastAsia="zh-CN"/>
        </w:rPr>
      </w:pPr>
      <w:r>
        <w:rPr>
          <w:rFonts w:hint="eastAsia"/>
          <w:lang w:eastAsia="zh-CN"/>
        </w:rPr>
        <w:t>根据QYResearch头部企业研究中心调研，全球范围内减肥管理生产商主要包括Herbalife、ICON Health &amp; Fitness、Brunswick Corporation、Medifast、Planet Fitness等。2024年，全球前五大厂商占有大约3.8%的市场份额。</w:t>
      </w:r>
    </w:p>
    <w:p w14:paraId="3E6DE9A8">
      <w:pPr>
        <w:pStyle w:val="148"/>
        <w:rPr>
          <w:lang w:eastAsia="zh-CN"/>
        </w:rPr>
      </w:pPr>
      <w:r>
        <w:rPr>
          <w:lang w:eastAsia="zh-CN"/>
        </w:rPr>
        <w:t>减肥管理</w:t>
      </w:r>
      <w:r>
        <w:rPr>
          <w:rFonts w:hint="eastAsia"/>
          <w:lang w:eastAsia="zh-CN"/>
        </w:rPr>
        <w:t>，全球市场规模，按产品分类细分，喷雾干燥处于主导地位</w:t>
      </w:r>
    </w:p>
    <w:p w14:paraId="2AA5101A">
      <w:pPr>
        <w:pStyle w:val="145"/>
        <w:jc w:val="center"/>
        <w:rPr>
          <w:lang w:val="en-US" w:eastAsia="zh-CN"/>
        </w:rPr>
      </w:pPr>
      <w:r>
        <w:rPr>
          <w:lang w:val="en-US" w:eastAsia="zh-CN"/>
        </w:rPr>
        <w:drawing>
          <wp:inline distT="0" distB="0" distL="0" distR="0">
            <wp:extent cx="6371590" cy="2417445"/>
            <wp:effectExtent l="0" t="0" r="0" b="1905"/>
            <wp:docPr id="5742695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269551"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379655" cy="2420422"/>
                    </a:xfrm>
                    <a:prstGeom prst="rect">
                      <a:avLst/>
                    </a:prstGeom>
                    <a:noFill/>
                  </pic:spPr>
                </pic:pic>
              </a:graphicData>
            </a:graphic>
          </wp:inline>
        </w:drawing>
      </w:r>
    </w:p>
    <w:p w14:paraId="39AE0722">
      <w:pPr>
        <w:pStyle w:val="143"/>
      </w:pPr>
      <w:r>
        <w:rPr>
          <w:rFonts w:hint="eastAsia"/>
        </w:rPr>
        <w:t>来源：QYResearch软件和商业服务研究中心</w:t>
      </w:r>
    </w:p>
    <w:p w14:paraId="6897D280">
      <w:pPr>
        <w:widowControl/>
        <w:topLinePunct w:val="0"/>
        <w:spacing w:after="0"/>
        <w:rPr>
          <w:rFonts w:hint="eastAsia" w:ascii="宋体" w:hAnsi="宋体" w:cs="宋体"/>
          <w:kern w:val="0"/>
          <w:sz w:val="22"/>
          <w:szCs w:val="22"/>
        </w:rPr>
      </w:pPr>
      <w:r>
        <w:rPr>
          <w:rFonts w:hint="eastAsia"/>
        </w:rPr>
        <w:t>就产品类型而言，目前减肥食谱是最主要的细分产品，占据大约46.5%的份额。</w:t>
      </w:r>
    </w:p>
    <w:p w14:paraId="5F03159A">
      <w:pPr>
        <w:pStyle w:val="148"/>
        <w:rPr>
          <w:lang w:eastAsia="zh-CN"/>
        </w:rPr>
      </w:pPr>
      <w:r>
        <w:rPr>
          <w:lang w:eastAsia="zh-CN"/>
        </w:rPr>
        <w:t>减肥管理</w:t>
      </w:r>
      <w:r>
        <w:rPr>
          <w:rFonts w:hint="eastAsia"/>
          <w:lang w:eastAsia="zh-CN"/>
        </w:rPr>
        <w:t>，全球市场规模，按应用领域细分，休闲食品是最大的下游市场</w:t>
      </w:r>
    </w:p>
    <w:p w14:paraId="6B64FAA3">
      <w:pPr>
        <w:widowControl/>
        <w:topLinePunct w:val="0"/>
        <w:spacing w:after="0"/>
      </w:pPr>
      <w:r>
        <w:drawing>
          <wp:inline distT="0" distB="0" distL="0" distR="0">
            <wp:extent cx="6292850" cy="2385695"/>
            <wp:effectExtent l="0" t="0" r="0" b="0"/>
            <wp:docPr id="1817636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363"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307001" cy="2391597"/>
                    </a:xfrm>
                    <a:prstGeom prst="rect">
                      <a:avLst/>
                    </a:prstGeom>
                    <a:noFill/>
                  </pic:spPr>
                </pic:pic>
              </a:graphicData>
            </a:graphic>
          </wp:inline>
        </w:drawing>
      </w:r>
    </w:p>
    <w:p w14:paraId="0CFD7319">
      <w:pPr>
        <w:pStyle w:val="143"/>
        <w:rPr>
          <w:sz w:val="21"/>
        </w:rPr>
      </w:pPr>
      <w:r>
        <w:rPr>
          <w:rFonts w:hint="eastAsia"/>
        </w:rPr>
        <w:t>来源：QYResearch软件和商业服务研究中心</w:t>
      </w:r>
    </w:p>
    <w:p w14:paraId="68F1B26A">
      <w:pPr>
        <w:widowControl/>
        <w:topLinePunct w:val="0"/>
        <w:spacing w:after="0"/>
        <w:jc w:val="left"/>
        <w:rPr>
          <w:rFonts w:ascii="Book Antiqua" w:hAnsi="Book Antiqua" w:cs="宋体"/>
          <w:kern w:val="0"/>
          <w:sz w:val="22"/>
          <w:szCs w:val="22"/>
        </w:rPr>
      </w:pPr>
      <w:r>
        <w:rPr>
          <w:rFonts w:hint="eastAsia" w:ascii="Book Antiqua" w:hAnsi="Book Antiqua" w:cs="宋体"/>
          <w:kern w:val="0"/>
          <w:sz w:val="22"/>
          <w:szCs w:val="22"/>
        </w:rPr>
        <w:t>就产品应用而言，目前女性群体是最主要的需求来源，占据大约65.2%的份额。</w:t>
      </w:r>
    </w:p>
    <w:p w14:paraId="723543BF">
      <w:pPr>
        <w:pStyle w:val="148"/>
        <w:rPr>
          <w:lang w:eastAsia="zh-CN"/>
        </w:rPr>
      </w:pPr>
      <w:r>
        <w:rPr>
          <w:rFonts w:hint="eastAsia"/>
          <w:lang w:eastAsia="zh-CN"/>
        </w:rPr>
        <w:t>全球主要地区市场</w:t>
      </w:r>
      <w:r>
        <w:rPr>
          <w:lang w:eastAsia="zh-CN"/>
        </w:rPr>
        <w:t>减肥管理</w:t>
      </w:r>
      <w:r>
        <w:rPr>
          <w:rFonts w:hint="eastAsia"/>
          <w:lang w:eastAsia="zh-CN"/>
        </w:rPr>
        <w:t>规模</w:t>
      </w:r>
    </w:p>
    <w:p w14:paraId="0074E309">
      <w:pPr>
        <w:pStyle w:val="145"/>
        <w:rPr>
          <w:lang w:val="en-US" w:eastAsia="zh-CN"/>
        </w:rPr>
      </w:pPr>
      <w:bookmarkStart w:id="14" w:name="_Hlk217839613"/>
      <w:r>
        <w:rPr>
          <w:lang w:val="en-US" w:eastAsia="zh-CN"/>
        </w:rPr>
        <w:drawing>
          <wp:inline distT="0" distB="0" distL="0" distR="0">
            <wp:extent cx="6511925" cy="1614170"/>
            <wp:effectExtent l="0" t="0" r="3175" b="5080"/>
            <wp:docPr id="2902556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255620" name="图片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568469" cy="1628286"/>
                    </a:xfrm>
                    <a:prstGeom prst="rect">
                      <a:avLst/>
                    </a:prstGeom>
                    <a:noFill/>
                  </pic:spPr>
                </pic:pic>
              </a:graphicData>
            </a:graphic>
          </wp:inline>
        </w:drawing>
      </w:r>
    </w:p>
    <w:bookmarkEnd w:id="14"/>
    <w:p w14:paraId="08CA65EC">
      <w:pPr>
        <w:pStyle w:val="143"/>
      </w:pPr>
      <w:r>
        <w:rPr>
          <w:rFonts w:hint="eastAsia"/>
        </w:rPr>
        <w:t>来源：QYResearch 软件和商业服务研究中心</w:t>
      </w:r>
    </w:p>
    <w:p w14:paraId="5B0E427C">
      <w:pPr>
        <w:pStyle w:val="2"/>
        <w:rPr>
          <w:lang w:eastAsia="zh-CN"/>
        </w:rPr>
      </w:pPr>
      <w:r>
        <w:rPr>
          <w:rFonts w:hint="eastAsia"/>
          <w:lang w:eastAsia="zh-CN"/>
        </w:rPr>
        <w:t>减肥管理未来市场发展</w:t>
      </w:r>
    </w:p>
    <w:p w14:paraId="4606A9AC">
      <w:pPr>
        <w:pStyle w:val="3"/>
      </w:pPr>
      <w:bookmarkStart w:id="15" w:name="_Hlk215134075"/>
      <w:r>
        <w:rPr>
          <w:rFonts w:hint="eastAsia"/>
        </w:rPr>
        <w:t>行业发展趋势</w:t>
      </w:r>
    </w:p>
    <w:bookmarkEnd w:id="15"/>
    <w:p w14:paraId="11DCF770">
      <w:pPr>
        <w:pStyle w:val="205"/>
        <w:numPr>
          <w:ilvl w:val="0"/>
          <w:numId w:val="4"/>
        </w:numPr>
        <w:ind w:right="-105"/>
      </w:pPr>
      <w:r>
        <w:rPr>
          <w:rFonts w:hint="eastAsia"/>
        </w:rPr>
        <w:t>行业发展趋势</w:t>
      </w:r>
    </w:p>
    <w:tbl>
      <w:tblPr>
        <w:tblStyle w:val="165"/>
        <w:tblW w:w="5000" w:type="pct"/>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3"/>
        <w:gridCol w:w="7729"/>
      </w:tblGrid>
      <w:tr w14:paraId="764AF50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c>
          <w:tcPr>
            <w:tcW w:w="1121" w:type="pct"/>
            <w:tcBorders>
              <w:bottom w:val="single" w:color="5B9BD5" w:themeColor="accent1" w:sz="12" w:space="0"/>
              <w:insideH w:val="single" w:sz="12" w:space="0"/>
            </w:tcBorders>
            <w:vAlign w:val="top"/>
          </w:tcPr>
          <w:p w14:paraId="4F68BEBA">
            <w:pPr>
              <w:spacing w:after="0" w:line="312" w:lineRule="auto"/>
              <w:rPr>
                <w:rFonts w:ascii="Calibri" w:hAnsi="Calibri"/>
                <w:b/>
                <w:bCs/>
              </w:rPr>
            </w:pPr>
            <w:bookmarkStart w:id="16" w:name="_Hlk215132159"/>
            <w:r>
              <w:rPr>
                <w:rFonts w:hint="eastAsia"/>
                <w:b/>
                <w:bCs/>
              </w:rPr>
              <w:t>趋势</w:t>
            </w:r>
          </w:p>
        </w:tc>
        <w:tc>
          <w:tcPr>
            <w:tcW w:w="3879" w:type="pct"/>
            <w:tcBorders>
              <w:bottom w:val="single" w:color="5B9BD5" w:themeColor="accent1" w:sz="12" w:space="0"/>
              <w:insideH w:val="single" w:sz="12" w:space="0"/>
            </w:tcBorders>
            <w:vAlign w:val="top"/>
          </w:tcPr>
          <w:p w14:paraId="0069CF86">
            <w:pPr>
              <w:spacing w:after="0" w:line="312" w:lineRule="auto"/>
              <w:rPr>
                <w:rFonts w:ascii="Calibri" w:hAnsi="Calibri"/>
                <w:b/>
                <w:bCs/>
              </w:rPr>
            </w:pPr>
            <w:r>
              <w:rPr>
                <w:rFonts w:hint="eastAsia"/>
                <w:b/>
                <w:bCs/>
              </w:rPr>
              <w:t>描述</w:t>
            </w:r>
          </w:p>
        </w:tc>
      </w:tr>
      <w:tr w14:paraId="2CE2E11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1" w:type="pct"/>
            <w:shd w:val="clear" w:color="auto" w:fill="DEEAF6" w:themeFill="accent1" w:themeFillTint="33"/>
            <w:vAlign w:val="top"/>
          </w:tcPr>
          <w:p w14:paraId="34A649CF">
            <w:pPr>
              <w:spacing w:after="0" w:line="312" w:lineRule="auto"/>
              <w:rPr>
                <w:rFonts w:ascii="Calibri" w:hAnsi="Calibri"/>
                <w:b/>
                <w:bCs/>
              </w:rPr>
            </w:pPr>
            <w:r>
              <w:rPr>
                <w:rFonts w:hint="eastAsia"/>
                <w:b/>
                <w:bCs/>
              </w:rPr>
              <w:t>医疗级减重方案快速普及化</w:t>
            </w:r>
          </w:p>
        </w:tc>
        <w:tc>
          <w:tcPr>
            <w:tcW w:w="3879" w:type="pct"/>
            <w:shd w:val="clear" w:color="auto" w:fill="DEEAF6" w:themeFill="accent1" w:themeFillTint="33"/>
            <w:vAlign w:val="top"/>
          </w:tcPr>
          <w:p w14:paraId="0F8999ED">
            <w:pPr>
              <w:spacing w:after="0" w:line="312" w:lineRule="auto"/>
              <w:rPr>
                <w:rFonts w:ascii="Calibri" w:hAnsi="Calibri"/>
              </w:rPr>
            </w:pPr>
            <w:r>
              <w:rPr>
                <w:rFonts w:hint="eastAsia"/>
              </w:rPr>
              <w:t>GLP-1 类药物（如司美格鲁肽、替尔泊肽）推动“医疗减重”从医学场景走向大众化，并逐步形成药物、营养、运动、心理干预一体化的综合管理模式。医疗级减重的渗透率提升，使“医美 + 健康管理 + 药物干预”成为新增长极，重塑传统运动与营养减重产业格局。</w:t>
            </w:r>
          </w:p>
        </w:tc>
      </w:tr>
      <w:tr w14:paraId="55ECE98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1" w:type="pct"/>
            <w:vAlign w:val="top"/>
          </w:tcPr>
          <w:p w14:paraId="16E291A4">
            <w:pPr>
              <w:spacing w:after="0" w:line="312" w:lineRule="auto"/>
              <w:rPr>
                <w:rFonts w:ascii="Calibri" w:hAnsi="Calibri"/>
                <w:b/>
                <w:bCs/>
              </w:rPr>
            </w:pPr>
            <w:r>
              <w:rPr>
                <w:rFonts w:hint="eastAsia"/>
                <w:b/>
                <w:bCs/>
              </w:rPr>
              <w:t>数字化与可穿戴设备推动行为干预精准化</w:t>
            </w:r>
          </w:p>
        </w:tc>
        <w:tc>
          <w:tcPr>
            <w:tcW w:w="3879" w:type="pct"/>
            <w:vAlign w:val="top"/>
          </w:tcPr>
          <w:p w14:paraId="41D2FAD1">
            <w:pPr>
              <w:spacing w:after="0" w:line="312" w:lineRule="auto"/>
              <w:rPr>
                <w:rFonts w:ascii="Calibri" w:hAnsi="Calibri"/>
              </w:rPr>
            </w:pPr>
            <w:r>
              <w:rPr>
                <w:rFonts w:hint="eastAsia"/>
              </w:rPr>
              <w:t>智能手表、体脂秤、连续血糖监测（CGM）与App饮食记录工具推动全面数字化管理。数据驱动的动态干预模型（睡眠、压力、能量消耗、饮食行为分析）使减重服务从“经验模式”走向“算法模式”，并支持远程医疗与线上健康管理快速扩张。</w:t>
            </w:r>
          </w:p>
        </w:tc>
      </w:tr>
      <w:tr w14:paraId="45C2AC9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1" w:type="pct"/>
            <w:shd w:val="clear" w:color="auto" w:fill="DEEAF6" w:themeFill="accent1" w:themeFillTint="33"/>
            <w:vAlign w:val="top"/>
          </w:tcPr>
          <w:p w14:paraId="7CC7FCCA">
            <w:pPr>
              <w:spacing w:after="0" w:line="312" w:lineRule="auto"/>
              <w:rPr>
                <w:rFonts w:ascii="Calibri" w:hAnsi="Calibri"/>
                <w:b/>
                <w:bCs/>
              </w:rPr>
            </w:pPr>
            <w:r>
              <w:rPr>
                <w:rFonts w:hint="eastAsia"/>
                <w:b/>
                <w:bCs/>
              </w:rPr>
              <w:t>个性化营养与代谢分型成为主流</w:t>
            </w:r>
          </w:p>
        </w:tc>
        <w:tc>
          <w:tcPr>
            <w:tcW w:w="3879" w:type="pct"/>
            <w:shd w:val="clear" w:color="auto" w:fill="DEEAF6" w:themeFill="accent1" w:themeFillTint="33"/>
            <w:vAlign w:val="top"/>
          </w:tcPr>
          <w:p w14:paraId="1DC911F5">
            <w:pPr>
              <w:spacing w:after="0" w:line="312" w:lineRule="auto"/>
              <w:rPr>
                <w:rFonts w:ascii="Calibri" w:hAnsi="Calibri"/>
              </w:rPr>
            </w:pPr>
            <w:r>
              <w:rPr>
                <w:rFonts w:hint="eastAsia"/>
              </w:rPr>
              <w:t>基因检测、肠道菌群、代谢谱分析等精准营养技术推动“分型减重”，解决基础代谢差异、激素失衡与胰岛素敏感性差异问题。各类代餐、功能食品、营养配方向高蛋白、高纤维、低GI、低糖以及植物基方向升级，构建更高复购率与持续管理模式。</w:t>
            </w:r>
          </w:p>
        </w:tc>
      </w:tr>
      <w:tr w14:paraId="4B00399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121" w:type="pct"/>
            <w:vAlign w:val="top"/>
          </w:tcPr>
          <w:p w14:paraId="5864B6E2">
            <w:pPr>
              <w:spacing w:after="0" w:line="312" w:lineRule="auto"/>
              <w:rPr>
                <w:rFonts w:ascii="Calibri" w:hAnsi="Calibri"/>
                <w:b/>
                <w:bCs/>
              </w:rPr>
            </w:pPr>
            <w:r>
              <w:rPr>
                <w:rFonts w:hint="eastAsia"/>
                <w:b/>
                <w:bCs/>
              </w:rPr>
              <w:t>亚太与中东成为高增长区域</w:t>
            </w:r>
          </w:p>
        </w:tc>
        <w:tc>
          <w:tcPr>
            <w:tcW w:w="3879" w:type="pct"/>
            <w:vAlign w:val="top"/>
          </w:tcPr>
          <w:p w14:paraId="6131B52C">
            <w:pPr>
              <w:spacing w:after="0" w:line="312" w:lineRule="auto"/>
              <w:rPr>
                <w:rFonts w:ascii="Calibri" w:hAnsi="Calibri"/>
              </w:rPr>
            </w:pPr>
            <w:r>
              <w:rPr>
                <w:rFonts w:hint="eastAsia"/>
              </w:rPr>
              <w:t>随着中国、印度、中东等地区肥胖率持续上升、可支配收入提升以及健康观念转变，减肥管理产业进入快速扩张期。当地政府在公共健康体系中强化肥胖管理，推动企业建立“药物 + 营养 + 运动”的综合解决方案，使区域市场成为全球增长的核心动力。</w:t>
            </w:r>
          </w:p>
        </w:tc>
      </w:tr>
      <w:bookmarkEnd w:id="16"/>
    </w:tbl>
    <w:p w14:paraId="4A24F5C7">
      <w:pPr>
        <w:pStyle w:val="143"/>
      </w:pPr>
      <w:r>
        <w:rPr>
          <w:rFonts w:hint="eastAsia"/>
        </w:rPr>
        <w:t>资料来源：第三方资料及QYResearch整理研究，2025年</w:t>
      </w:r>
    </w:p>
    <w:p w14:paraId="71DAEB86">
      <w:pPr>
        <w:pStyle w:val="3"/>
      </w:pPr>
      <w:bookmarkStart w:id="17" w:name="OLE_LINK1"/>
      <w:r>
        <w:rPr>
          <w:rFonts w:hint="eastAsia"/>
        </w:rPr>
        <w:t>市场主要驱动因素</w:t>
      </w:r>
    </w:p>
    <w:bookmarkEnd w:id="17"/>
    <w:p w14:paraId="26ABE88F">
      <w:pPr>
        <w:pStyle w:val="205"/>
        <w:numPr>
          <w:ilvl w:val="0"/>
          <w:numId w:val="4"/>
        </w:numPr>
        <w:ind w:right="-105"/>
      </w:pPr>
      <w:r>
        <w:rPr>
          <w:rFonts w:hint="eastAsia"/>
        </w:rPr>
        <w:t>市场主要驱动因素</w:t>
      </w:r>
    </w:p>
    <w:tbl>
      <w:tblPr>
        <w:tblStyle w:val="165"/>
        <w:tblW w:w="5000" w:type="pct"/>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42"/>
        <w:gridCol w:w="6920"/>
      </w:tblGrid>
      <w:tr w14:paraId="305546B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tcBorders>
              <w:bottom w:val="single" w:color="5B9BD5" w:themeColor="accent1" w:sz="12" w:space="0"/>
              <w:insideH w:val="single" w:sz="12" w:space="0"/>
            </w:tcBorders>
            <w:vAlign w:val="top"/>
          </w:tcPr>
          <w:p w14:paraId="46620B2C">
            <w:pPr>
              <w:spacing w:after="0" w:line="312" w:lineRule="auto"/>
              <w:rPr>
                <w:rFonts w:ascii="Calibri" w:hAnsi="Calibri"/>
                <w:b/>
                <w:bCs/>
              </w:rPr>
            </w:pPr>
            <w:bookmarkStart w:id="18" w:name="_Hlk217055378"/>
            <w:r>
              <w:rPr>
                <w:rFonts w:hint="eastAsia"/>
                <w:b/>
                <w:bCs/>
              </w:rPr>
              <w:t>驱动因素</w:t>
            </w:r>
          </w:p>
        </w:tc>
        <w:tc>
          <w:tcPr>
            <w:tcW w:w="3473" w:type="pct"/>
            <w:tcBorders>
              <w:bottom w:val="single" w:color="5B9BD5" w:themeColor="accent1" w:sz="12" w:space="0"/>
              <w:insideH w:val="single" w:sz="12" w:space="0"/>
            </w:tcBorders>
            <w:vAlign w:val="top"/>
          </w:tcPr>
          <w:p w14:paraId="3A537FA9">
            <w:pPr>
              <w:spacing w:after="0" w:line="312" w:lineRule="auto"/>
              <w:rPr>
                <w:rFonts w:ascii="Calibri" w:hAnsi="Calibri"/>
                <w:b/>
                <w:bCs/>
              </w:rPr>
            </w:pPr>
            <w:r>
              <w:rPr>
                <w:rFonts w:hint="eastAsia"/>
                <w:b/>
                <w:bCs/>
              </w:rPr>
              <w:t>描述</w:t>
            </w:r>
          </w:p>
        </w:tc>
      </w:tr>
      <w:tr w14:paraId="3D1EE30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shd w:val="clear" w:color="auto" w:fill="DEEAF6" w:themeFill="accent1" w:themeFillTint="33"/>
            <w:vAlign w:val="top"/>
          </w:tcPr>
          <w:p w14:paraId="5286CFE4">
            <w:pPr>
              <w:spacing w:after="0" w:line="312" w:lineRule="auto"/>
              <w:rPr>
                <w:rFonts w:ascii="Calibri" w:hAnsi="Calibri"/>
                <w:b/>
                <w:bCs/>
              </w:rPr>
            </w:pPr>
            <w:r>
              <w:rPr>
                <w:rFonts w:hint="eastAsia"/>
                <w:b/>
                <w:bCs/>
              </w:rPr>
              <w:t>全球肥胖率攀升带来强刚性需求</w:t>
            </w:r>
          </w:p>
        </w:tc>
        <w:tc>
          <w:tcPr>
            <w:tcW w:w="3473" w:type="pct"/>
            <w:shd w:val="clear" w:color="auto" w:fill="DEEAF6" w:themeFill="accent1" w:themeFillTint="33"/>
            <w:vAlign w:val="top"/>
          </w:tcPr>
          <w:p w14:paraId="18E24FDF">
            <w:pPr>
              <w:spacing w:after="0" w:line="312" w:lineRule="auto"/>
              <w:rPr>
                <w:rFonts w:ascii="Calibri" w:hAnsi="Calibri"/>
              </w:rPr>
            </w:pPr>
            <w:r>
              <w:rPr>
                <w:rFonts w:hint="eastAsia"/>
              </w:rPr>
              <w:t>世界卫生组织数据显示，全球肥胖人数持续增长，并向低龄化、都市化趋势扩展。肥胖与糖尿病、心血管疾病、睡眠呼吸暂停综合征等疾病强相关，使政府、保险机构与消费者对减重干预的投入持续增加。肥胖已不再被视为“外观问题”，而是公共健康问题，驱动市场需求结构性增长。</w:t>
            </w:r>
          </w:p>
        </w:tc>
      </w:tr>
      <w:tr w14:paraId="622AD9D5">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vAlign w:val="top"/>
          </w:tcPr>
          <w:p w14:paraId="64F81BD1">
            <w:pPr>
              <w:spacing w:after="0" w:line="312" w:lineRule="auto"/>
              <w:rPr>
                <w:rFonts w:ascii="Calibri" w:hAnsi="Calibri"/>
                <w:b/>
                <w:bCs/>
              </w:rPr>
            </w:pPr>
            <w:r>
              <w:rPr>
                <w:rFonts w:hint="eastAsia"/>
                <w:b/>
                <w:bCs/>
              </w:rPr>
              <w:t>疫情后健康意识增强</w:t>
            </w:r>
          </w:p>
        </w:tc>
        <w:tc>
          <w:tcPr>
            <w:tcW w:w="3473" w:type="pct"/>
            <w:vAlign w:val="top"/>
          </w:tcPr>
          <w:p w14:paraId="21EB7D19">
            <w:pPr>
              <w:spacing w:after="0" w:line="312" w:lineRule="auto"/>
              <w:rPr>
                <w:rFonts w:ascii="Calibri" w:hAnsi="Calibri"/>
              </w:rPr>
            </w:pPr>
            <w:r>
              <w:rPr>
                <w:rFonts w:hint="eastAsia"/>
              </w:rPr>
              <w:t>COVID-19 后人群对免疫健康、体重管理和慢病预防的关注度显著提升，推动运动健身、营养管理、代餐食品与远程健康管理需求明显上升。企业通过线上APP、直播健身、可穿戴设备构建更高频的用户触点，提高消费者持续参与度。</w:t>
            </w:r>
          </w:p>
        </w:tc>
      </w:tr>
      <w:tr w14:paraId="1B8D08B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shd w:val="clear" w:color="auto" w:fill="DEEAF6" w:themeFill="accent1" w:themeFillTint="33"/>
            <w:vAlign w:val="top"/>
          </w:tcPr>
          <w:p w14:paraId="20F3B199">
            <w:pPr>
              <w:spacing w:after="0" w:line="312" w:lineRule="auto"/>
              <w:rPr>
                <w:rFonts w:ascii="Calibri" w:hAnsi="Calibri"/>
                <w:b/>
                <w:bCs/>
              </w:rPr>
            </w:pPr>
            <w:r>
              <w:rPr>
                <w:rFonts w:hint="eastAsia"/>
                <w:b/>
                <w:bCs/>
              </w:rPr>
              <w:t>技术创新降低减重门槛</w:t>
            </w:r>
          </w:p>
        </w:tc>
        <w:tc>
          <w:tcPr>
            <w:tcW w:w="3473" w:type="pct"/>
            <w:shd w:val="clear" w:color="auto" w:fill="DEEAF6" w:themeFill="accent1" w:themeFillTint="33"/>
            <w:vAlign w:val="top"/>
          </w:tcPr>
          <w:p w14:paraId="3FF0FFAB">
            <w:pPr>
              <w:spacing w:after="0" w:line="312" w:lineRule="auto"/>
              <w:rPr>
                <w:rFonts w:ascii="Calibri" w:hAnsi="Calibri"/>
              </w:rPr>
            </w:pPr>
            <w:r>
              <w:rPr>
                <w:rFonts w:hint="eastAsia"/>
              </w:rPr>
              <w:t>GLP-1 药物、代谢调节剂、植物性功能成分（如益生菌、膳食纤维、代糖）持续创新，提升安全性与有效性；AI饮食识别、连续监测设备、数字疗法等工具使用户更易坚持方案，提高行为干预成功率。技术创新带来更快效果、更低时间成本，增强用户参与意愿。</w:t>
            </w:r>
          </w:p>
        </w:tc>
      </w:tr>
      <w:tr w14:paraId="66C00E86">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vAlign w:val="top"/>
          </w:tcPr>
          <w:p w14:paraId="5DF7A3EE">
            <w:pPr>
              <w:spacing w:after="0" w:line="312" w:lineRule="auto"/>
              <w:rPr>
                <w:b/>
                <w:bCs/>
              </w:rPr>
            </w:pPr>
            <w:r>
              <w:rPr>
                <w:rFonts w:hint="eastAsia"/>
                <w:b/>
                <w:bCs/>
              </w:rPr>
              <w:t>健康保险与企业福利推动长期减重方案</w:t>
            </w:r>
          </w:p>
        </w:tc>
        <w:tc>
          <w:tcPr>
            <w:tcW w:w="3473" w:type="pct"/>
            <w:vAlign w:val="top"/>
          </w:tcPr>
          <w:p w14:paraId="0058B90E">
            <w:pPr>
              <w:spacing w:after="0" w:line="312" w:lineRule="auto"/>
            </w:pPr>
            <w:r>
              <w:rPr>
                <w:rFonts w:hint="eastAsia"/>
              </w:rPr>
              <w:t>多国保险公司将减重管理纳入支付体系，企业亦将体重管理作为健康福利重要组成部分，从而推动长期管理模式普及。此类需求具备强粘性、复购率高，促进产业朝长期订阅式、闭环式服务转型。</w:t>
            </w:r>
          </w:p>
        </w:tc>
      </w:tr>
      <w:bookmarkEnd w:id="18"/>
    </w:tbl>
    <w:p w14:paraId="2A67CEBA">
      <w:pPr>
        <w:pStyle w:val="143"/>
      </w:pPr>
      <w:r>
        <w:rPr>
          <w:rFonts w:hint="eastAsia"/>
        </w:rPr>
        <w:t>资料来源：第三方资料及QYResearch整理研究，2025年</w:t>
      </w:r>
    </w:p>
    <w:p w14:paraId="13CAC6D1">
      <w:pPr>
        <w:pStyle w:val="3"/>
      </w:pPr>
      <w:r>
        <w:rPr>
          <w:rFonts w:hint="eastAsia"/>
        </w:rPr>
        <w:t>市场发展挑战</w:t>
      </w:r>
    </w:p>
    <w:p w14:paraId="6BB1B65B">
      <w:pPr>
        <w:pStyle w:val="205"/>
        <w:numPr>
          <w:ilvl w:val="0"/>
          <w:numId w:val="4"/>
        </w:numPr>
        <w:ind w:right="-105"/>
      </w:pPr>
      <w:r>
        <w:rPr>
          <w:rFonts w:hint="eastAsia"/>
        </w:rPr>
        <w:t>市场发展挑战</w:t>
      </w:r>
    </w:p>
    <w:bookmarkEnd w:id="1"/>
    <w:bookmarkEnd w:id="2"/>
    <w:bookmarkEnd w:id="3"/>
    <w:bookmarkEnd w:id="4"/>
    <w:bookmarkEnd w:id="5"/>
    <w:bookmarkEnd w:id="6"/>
    <w:bookmarkEnd w:id="7"/>
    <w:bookmarkEnd w:id="8"/>
    <w:bookmarkEnd w:id="9"/>
    <w:bookmarkEnd w:id="10"/>
    <w:bookmarkEnd w:id="11"/>
    <w:bookmarkEnd w:id="12"/>
    <w:bookmarkEnd w:id="13"/>
    <w:tbl>
      <w:tblPr>
        <w:tblStyle w:val="165"/>
        <w:tblW w:w="5000" w:type="pct"/>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42"/>
        <w:gridCol w:w="6920"/>
      </w:tblGrid>
      <w:tr w14:paraId="783D314B">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PrEx>
        <w:tc>
          <w:tcPr>
            <w:tcW w:w="1527" w:type="pct"/>
            <w:tcBorders>
              <w:bottom w:val="single" w:color="5B9BD5" w:themeColor="accent1" w:sz="12" w:space="0"/>
              <w:insideH w:val="single" w:sz="12" w:space="0"/>
            </w:tcBorders>
            <w:vAlign w:val="top"/>
          </w:tcPr>
          <w:p w14:paraId="2448AD3F">
            <w:pPr>
              <w:spacing w:after="0" w:line="312" w:lineRule="auto"/>
              <w:rPr>
                <w:rFonts w:ascii="Calibri" w:hAnsi="Calibri"/>
                <w:b/>
                <w:bCs/>
              </w:rPr>
            </w:pPr>
            <w:r>
              <w:rPr>
                <w:rFonts w:hint="eastAsia"/>
                <w:b/>
                <w:bCs/>
              </w:rPr>
              <w:t>挑战</w:t>
            </w:r>
          </w:p>
        </w:tc>
        <w:tc>
          <w:tcPr>
            <w:tcW w:w="3473" w:type="pct"/>
            <w:tcBorders>
              <w:bottom w:val="single" w:color="5B9BD5" w:themeColor="accent1" w:sz="12" w:space="0"/>
              <w:insideH w:val="single" w:sz="12" w:space="0"/>
            </w:tcBorders>
            <w:vAlign w:val="top"/>
          </w:tcPr>
          <w:p w14:paraId="132B1E7C">
            <w:pPr>
              <w:spacing w:after="0" w:line="312" w:lineRule="auto"/>
              <w:rPr>
                <w:rFonts w:ascii="Calibri" w:hAnsi="Calibri"/>
                <w:b/>
                <w:bCs/>
              </w:rPr>
            </w:pPr>
            <w:r>
              <w:rPr>
                <w:rFonts w:hint="eastAsia"/>
                <w:b/>
                <w:bCs/>
              </w:rPr>
              <w:t>描述</w:t>
            </w:r>
          </w:p>
        </w:tc>
      </w:tr>
      <w:tr w14:paraId="16344B98">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shd w:val="clear" w:color="auto" w:fill="DEEAF6" w:themeFill="accent1" w:themeFillTint="33"/>
            <w:vAlign w:val="top"/>
          </w:tcPr>
          <w:p w14:paraId="5E98F791">
            <w:pPr>
              <w:spacing w:after="0" w:line="312" w:lineRule="auto"/>
              <w:rPr>
                <w:rFonts w:ascii="Calibri" w:hAnsi="Calibri"/>
                <w:b/>
                <w:bCs/>
              </w:rPr>
            </w:pPr>
            <w:r>
              <w:rPr>
                <w:rFonts w:hint="eastAsia"/>
                <w:b/>
                <w:bCs/>
              </w:rPr>
              <w:t>长期依从性差、复胖率高</w:t>
            </w:r>
          </w:p>
        </w:tc>
        <w:tc>
          <w:tcPr>
            <w:tcW w:w="3473" w:type="pct"/>
            <w:shd w:val="clear" w:color="auto" w:fill="DEEAF6" w:themeFill="accent1" w:themeFillTint="33"/>
            <w:vAlign w:val="top"/>
          </w:tcPr>
          <w:p w14:paraId="2D5E501E">
            <w:pPr>
              <w:spacing w:after="0" w:line="312" w:lineRule="auto"/>
              <w:rPr>
                <w:rFonts w:ascii="Calibri" w:hAnsi="Calibri"/>
              </w:rPr>
            </w:pPr>
            <w:r>
              <w:rPr>
                <w:rFonts w:hint="eastAsia"/>
              </w:rPr>
              <w:t>减重的核心难点在于长期行为改变。用户容易受情绪、生活方式与社会因素影响，导致依从性下降和周期性复胖。即使使用药物干预，停药后体重反弹仍普遍存在，促使行业需要构建更强的习惯养成机制与长期管理体系。</w:t>
            </w:r>
          </w:p>
        </w:tc>
      </w:tr>
      <w:tr w14:paraId="63D8106A">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vAlign w:val="top"/>
          </w:tcPr>
          <w:p w14:paraId="6F44BEA3">
            <w:pPr>
              <w:spacing w:after="0" w:line="312" w:lineRule="auto"/>
              <w:rPr>
                <w:rFonts w:ascii="Calibri" w:hAnsi="Calibri"/>
                <w:b/>
                <w:bCs/>
              </w:rPr>
            </w:pPr>
            <w:r>
              <w:rPr>
                <w:rFonts w:hint="eastAsia"/>
                <w:b/>
                <w:bCs/>
              </w:rPr>
              <w:t>药物风险与政策监管不确定性</w:t>
            </w:r>
          </w:p>
        </w:tc>
        <w:tc>
          <w:tcPr>
            <w:tcW w:w="3473" w:type="pct"/>
            <w:vAlign w:val="top"/>
          </w:tcPr>
          <w:p w14:paraId="3B526ACD">
            <w:pPr>
              <w:spacing w:after="0" w:line="312" w:lineRule="auto"/>
              <w:rPr>
                <w:rFonts w:ascii="Calibri" w:hAnsi="Calibri"/>
              </w:rPr>
            </w:pPr>
            <w:r>
              <w:rPr>
                <w:rFonts w:hint="eastAsia"/>
              </w:rPr>
              <w:t>GLP-1 药物快速扩张，但副作用（胃肠反应、营养不均衡、肌少症风险）仍受到关注。部分国家对处方、广告、线下销售与跨境购买的监管趋严，影响企业商业模式稳定性。未来监管强化可能提升行业合规成本。</w:t>
            </w:r>
          </w:p>
        </w:tc>
      </w:tr>
      <w:tr w14:paraId="6BB3D6B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shd w:val="clear" w:color="auto" w:fill="DEEAF6" w:themeFill="accent1" w:themeFillTint="33"/>
            <w:vAlign w:val="top"/>
          </w:tcPr>
          <w:p w14:paraId="72FA9975">
            <w:pPr>
              <w:spacing w:after="0" w:line="312" w:lineRule="auto"/>
              <w:rPr>
                <w:rFonts w:ascii="Calibri" w:hAnsi="Calibri"/>
                <w:b/>
                <w:bCs/>
              </w:rPr>
            </w:pPr>
            <w:r>
              <w:rPr>
                <w:rFonts w:hint="eastAsia"/>
                <w:b/>
                <w:bCs/>
              </w:rPr>
              <w:t>数字化隐私与数据安全挑战</w:t>
            </w:r>
          </w:p>
        </w:tc>
        <w:tc>
          <w:tcPr>
            <w:tcW w:w="3473" w:type="pct"/>
            <w:shd w:val="clear" w:color="auto" w:fill="DEEAF6" w:themeFill="accent1" w:themeFillTint="33"/>
            <w:vAlign w:val="top"/>
          </w:tcPr>
          <w:p w14:paraId="12DE0D60">
            <w:pPr>
              <w:spacing w:after="0" w:line="312" w:lineRule="auto"/>
              <w:rPr>
                <w:rFonts w:ascii="Calibri" w:hAnsi="Calibri"/>
              </w:rPr>
            </w:pPr>
            <w:r>
              <w:rPr>
                <w:rFonts w:hint="eastAsia"/>
              </w:rPr>
              <w:t>可穿戴设备与APP采集大量健康数据，包括体重、饮食、睡眠与代谢信息，在隐私保护与跨境数据流通方面存在合规压力。数据泄露风险、算法偏差及健康数据商业化利用均受到监管机构与消费者的高度关注。</w:t>
            </w:r>
          </w:p>
        </w:tc>
      </w:tr>
      <w:tr w14:paraId="4D134C4E">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7" w:type="pct"/>
            <w:vAlign w:val="top"/>
          </w:tcPr>
          <w:p w14:paraId="6D4034B1">
            <w:pPr>
              <w:spacing w:after="0" w:line="312" w:lineRule="auto"/>
              <w:rPr>
                <w:b/>
                <w:bCs/>
              </w:rPr>
            </w:pPr>
            <w:r>
              <w:rPr>
                <w:rFonts w:hint="eastAsia"/>
                <w:b/>
                <w:bCs/>
              </w:rPr>
              <w:t>市场竞争加剧导致获客成本上升</w:t>
            </w:r>
          </w:p>
        </w:tc>
        <w:tc>
          <w:tcPr>
            <w:tcW w:w="3473" w:type="pct"/>
            <w:vAlign w:val="top"/>
          </w:tcPr>
          <w:p w14:paraId="533255D2">
            <w:pPr>
              <w:spacing w:after="0" w:line="312" w:lineRule="auto"/>
            </w:pPr>
            <w:r>
              <w:rPr>
                <w:rFonts w:hint="eastAsia"/>
              </w:rPr>
              <w:t>健身类应用、代餐品牌、医美、互联网医院、营养咨询、药企等多方都进入减重赛道，形成高度碎片化竞争。用户获取成本（CAC）持续上升，而行业高度依赖复购与长期订阅，导致商业模式压力加大，企业需要提高产品差异化与科学性。</w:t>
            </w:r>
          </w:p>
        </w:tc>
      </w:tr>
    </w:tbl>
    <w:p w14:paraId="04CFFE7F">
      <w:pPr>
        <w:pStyle w:val="143"/>
      </w:pPr>
      <w:r>
        <w:rPr>
          <w:rFonts w:hint="eastAsia"/>
        </w:rPr>
        <w:t>资料来源：第三方资料及QYResearch整理研究，2025年</w:t>
      </w:r>
    </w:p>
    <w:p w14:paraId="07A95001">
      <w:pPr>
        <w:pStyle w:val="145"/>
        <w:rPr>
          <w:lang w:eastAsia="zh-CN"/>
        </w:rPr>
      </w:pPr>
      <w:bookmarkStart w:id="19" w:name="_GoBack"/>
      <w:bookmarkEnd w:id="19"/>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48"/>
      <w:lvlText w:val="图%1."/>
      <w:lvlJc w:val="left"/>
      <w:pPr>
        <w:ind w:left="440" w:hanging="440"/>
      </w:pPr>
      <w:rPr>
        <w:rFonts w:hint="eastAsia"/>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205"/>
      <w:suff w:val="nothing"/>
      <w:lvlText w:val="Table %1.   "/>
      <w:lvlJc w:val="left"/>
      <w:pPr>
        <w:ind w:left="357" w:hanging="357"/>
      </w:p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11A7B63"/>
    <w:multiLevelType w:val="multilevel"/>
    <w:tmpl w:val="311A7B63"/>
    <w:lvl w:ilvl="0" w:tentative="0">
      <w:start w:val="1"/>
      <w:numFmt w:val="decimal"/>
      <w:lvlText w:val="表格%1."/>
      <w:lvlJc w:val="left"/>
      <w:pPr>
        <w:ind w:left="335"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17E0D"/>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268"/>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AF4"/>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47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C39"/>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6A9"/>
    <w:rsid w:val="000A7A5D"/>
    <w:rsid w:val="000A7C09"/>
    <w:rsid w:val="000A7D26"/>
    <w:rsid w:val="000A7E15"/>
    <w:rsid w:val="000A7E45"/>
    <w:rsid w:val="000A7F02"/>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AC5"/>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3C7D"/>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77"/>
    <w:rsid w:val="0012129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3E6A"/>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883"/>
    <w:rsid w:val="0014196F"/>
    <w:rsid w:val="00141A2B"/>
    <w:rsid w:val="00141E8C"/>
    <w:rsid w:val="00141F79"/>
    <w:rsid w:val="001421AC"/>
    <w:rsid w:val="0014280B"/>
    <w:rsid w:val="00142AC7"/>
    <w:rsid w:val="00142C03"/>
    <w:rsid w:val="00142CCB"/>
    <w:rsid w:val="0014304B"/>
    <w:rsid w:val="0014318A"/>
    <w:rsid w:val="001431FB"/>
    <w:rsid w:val="001433D8"/>
    <w:rsid w:val="001437DD"/>
    <w:rsid w:val="00143A0B"/>
    <w:rsid w:val="00143D40"/>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371"/>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3D9"/>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003"/>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50"/>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9EF"/>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7BE"/>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96"/>
    <w:rsid w:val="002260E9"/>
    <w:rsid w:val="002262CA"/>
    <w:rsid w:val="002263E5"/>
    <w:rsid w:val="002264CC"/>
    <w:rsid w:val="002265B3"/>
    <w:rsid w:val="00226901"/>
    <w:rsid w:val="00226A18"/>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004"/>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1FC7"/>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7B6"/>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556"/>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4A"/>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A33"/>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361"/>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8F9"/>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8FC"/>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66"/>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ABB"/>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26"/>
    <w:rsid w:val="0033283F"/>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2FC3"/>
    <w:rsid w:val="0034314B"/>
    <w:rsid w:val="00343478"/>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1AA"/>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5B2"/>
    <w:rsid w:val="0035785C"/>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C1E"/>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A0F"/>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336"/>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1F3D"/>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6AE"/>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99"/>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5B7"/>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62"/>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A6"/>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59"/>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883"/>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07D7B"/>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BF5"/>
    <w:rsid w:val="00424C7B"/>
    <w:rsid w:val="00424DCF"/>
    <w:rsid w:val="0042526A"/>
    <w:rsid w:val="004253C2"/>
    <w:rsid w:val="00425482"/>
    <w:rsid w:val="00425891"/>
    <w:rsid w:val="00425A88"/>
    <w:rsid w:val="00425C77"/>
    <w:rsid w:val="00425ED7"/>
    <w:rsid w:val="00425FA6"/>
    <w:rsid w:val="0042609B"/>
    <w:rsid w:val="00426380"/>
    <w:rsid w:val="004264E3"/>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0A"/>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A65"/>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69"/>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4B4"/>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DAC"/>
    <w:rsid w:val="00502E7C"/>
    <w:rsid w:val="00502EE8"/>
    <w:rsid w:val="005032BD"/>
    <w:rsid w:val="0050336E"/>
    <w:rsid w:val="00503513"/>
    <w:rsid w:val="005035E3"/>
    <w:rsid w:val="00503907"/>
    <w:rsid w:val="00503ECE"/>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0FF"/>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1BD"/>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0B3"/>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0EE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B9"/>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1BAC"/>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5B5"/>
    <w:rsid w:val="0059298D"/>
    <w:rsid w:val="00592B54"/>
    <w:rsid w:val="0059372D"/>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294"/>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5F85"/>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5E2A"/>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62"/>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DF3"/>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24B"/>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8BF"/>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87D"/>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64C"/>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0DF"/>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7A7"/>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8F7"/>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C6C"/>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7F6"/>
    <w:rsid w:val="006F0BDB"/>
    <w:rsid w:val="006F1075"/>
    <w:rsid w:val="006F109B"/>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5A06"/>
    <w:rsid w:val="006F614A"/>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3EE2"/>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018"/>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36"/>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16"/>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935"/>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3F1B"/>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9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5D5"/>
    <w:rsid w:val="00844627"/>
    <w:rsid w:val="00844700"/>
    <w:rsid w:val="00844A9E"/>
    <w:rsid w:val="00844B08"/>
    <w:rsid w:val="00844B50"/>
    <w:rsid w:val="00844C4F"/>
    <w:rsid w:val="00844DC4"/>
    <w:rsid w:val="00844F05"/>
    <w:rsid w:val="00844FC0"/>
    <w:rsid w:val="00845277"/>
    <w:rsid w:val="0084537A"/>
    <w:rsid w:val="0084542F"/>
    <w:rsid w:val="008459CB"/>
    <w:rsid w:val="00845A1B"/>
    <w:rsid w:val="00845B25"/>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B43"/>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11"/>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A6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41E"/>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AE6"/>
    <w:rsid w:val="008D7F22"/>
    <w:rsid w:val="008E00B3"/>
    <w:rsid w:val="008E0547"/>
    <w:rsid w:val="008E0654"/>
    <w:rsid w:val="008E0A8E"/>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D98"/>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85F"/>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1D"/>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D85"/>
    <w:rsid w:val="00910E34"/>
    <w:rsid w:val="00910FAF"/>
    <w:rsid w:val="009110F5"/>
    <w:rsid w:val="00911507"/>
    <w:rsid w:val="009115EE"/>
    <w:rsid w:val="009117EE"/>
    <w:rsid w:val="0091184C"/>
    <w:rsid w:val="00911ACB"/>
    <w:rsid w:val="00911B48"/>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C86"/>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97"/>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1F6"/>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042"/>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A92"/>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44"/>
    <w:rsid w:val="00994B97"/>
    <w:rsid w:val="00994BF7"/>
    <w:rsid w:val="00994CED"/>
    <w:rsid w:val="00994D00"/>
    <w:rsid w:val="00994F55"/>
    <w:rsid w:val="009953B5"/>
    <w:rsid w:val="0099544E"/>
    <w:rsid w:val="009957E5"/>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CF8"/>
    <w:rsid w:val="009A2EE6"/>
    <w:rsid w:val="009A31C1"/>
    <w:rsid w:val="009A3566"/>
    <w:rsid w:val="009A3AF5"/>
    <w:rsid w:val="009A3C46"/>
    <w:rsid w:val="009A4073"/>
    <w:rsid w:val="009A4235"/>
    <w:rsid w:val="009A4261"/>
    <w:rsid w:val="009A4AE6"/>
    <w:rsid w:val="009A4D26"/>
    <w:rsid w:val="009A4FCF"/>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693"/>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5D3"/>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A73"/>
    <w:rsid w:val="009C5D7D"/>
    <w:rsid w:val="009C6171"/>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45D"/>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6C1"/>
    <w:rsid w:val="009E271D"/>
    <w:rsid w:val="009E28C7"/>
    <w:rsid w:val="009E28F8"/>
    <w:rsid w:val="009E2B28"/>
    <w:rsid w:val="009E30BD"/>
    <w:rsid w:val="009E335E"/>
    <w:rsid w:val="009E3404"/>
    <w:rsid w:val="009E3634"/>
    <w:rsid w:val="009E3643"/>
    <w:rsid w:val="009E36AA"/>
    <w:rsid w:val="009E375A"/>
    <w:rsid w:val="009E3A93"/>
    <w:rsid w:val="009E3DAF"/>
    <w:rsid w:val="009E3F17"/>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0A8"/>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24B"/>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B44"/>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D49"/>
    <w:rsid w:val="00A31FAA"/>
    <w:rsid w:val="00A31FF7"/>
    <w:rsid w:val="00A3234B"/>
    <w:rsid w:val="00A323B2"/>
    <w:rsid w:val="00A3264A"/>
    <w:rsid w:val="00A32707"/>
    <w:rsid w:val="00A329D9"/>
    <w:rsid w:val="00A32A30"/>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060"/>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4A8"/>
    <w:rsid w:val="00A6271E"/>
    <w:rsid w:val="00A62CC4"/>
    <w:rsid w:val="00A62EAA"/>
    <w:rsid w:val="00A6301A"/>
    <w:rsid w:val="00A63029"/>
    <w:rsid w:val="00A6348F"/>
    <w:rsid w:val="00A637DF"/>
    <w:rsid w:val="00A639C5"/>
    <w:rsid w:val="00A63A0E"/>
    <w:rsid w:val="00A63A5B"/>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07C"/>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1C2"/>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99F"/>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349"/>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625"/>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6FD9"/>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7AD"/>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CD6"/>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0D"/>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7D6"/>
    <w:rsid w:val="00B4682D"/>
    <w:rsid w:val="00B47935"/>
    <w:rsid w:val="00B47973"/>
    <w:rsid w:val="00B479CE"/>
    <w:rsid w:val="00B47A3F"/>
    <w:rsid w:val="00B47EC0"/>
    <w:rsid w:val="00B50146"/>
    <w:rsid w:val="00B50406"/>
    <w:rsid w:val="00B50433"/>
    <w:rsid w:val="00B5046D"/>
    <w:rsid w:val="00B50724"/>
    <w:rsid w:val="00B50ABB"/>
    <w:rsid w:val="00B50AC7"/>
    <w:rsid w:val="00B50FD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6C0"/>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AB"/>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14"/>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DD1"/>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1C4"/>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D84"/>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3A6"/>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106"/>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0C9"/>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C34"/>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8F7"/>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260"/>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5C6"/>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4F"/>
    <w:rsid w:val="00C66968"/>
    <w:rsid w:val="00C66C4B"/>
    <w:rsid w:val="00C67027"/>
    <w:rsid w:val="00C670B2"/>
    <w:rsid w:val="00C6710D"/>
    <w:rsid w:val="00C67194"/>
    <w:rsid w:val="00C675EA"/>
    <w:rsid w:val="00C679FE"/>
    <w:rsid w:val="00C700C4"/>
    <w:rsid w:val="00C700D2"/>
    <w:rsid w:val="00C7064C"/>
    <w:rsid w:val="00C70A4E"/>
    <w:rsid w:val="00C70C90"/>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3AE"/>
    <w:rsid w:val="00C76551"/>
    <w:rsid w:val="00C76722"/>
    <w:rsid w:val="00C768F5"/>
    <w:rsid w:val="00C76F57"/>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5FC"/>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4B63"/>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D9E"/>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31C"/>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6E1"/>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0BF"/>
    <w:rsid w:val="00CD5170"/>
    <w:rsid w:val="00CD5280"/>
    <w:rsid w:val="00CD52FF"/>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B53"/>
    <w:rsid w:val="00CE1E74"/>
    <w:rsid w:val="00CE1F7D"/>
    <w:rsid w:val="00CE20D1"/>
    <w:rsid w:val="00CE23C3"/>
    <w:rsid w:val="00CE23CC"/>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6FEB"/>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CB7"/>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454"/>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1F1"/>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964"/>
    <w:rsid w:val="00D72B19"/>
    <w:rsid w:val="00D72C15"/>
    <w:rsid w:val="00D72E5D"/>
    <w:rsid w:val="00D73054"/>
    <w:rsid w:val="00D73092"/>
    <w:rsid w:val="00D733A6"/>
    <w:rsid w:val="00D7394A"/>
    <w:rsid w:val="00D73ED0"/>
    <w:rsid w:val="00D74208"/>
    <w:rsid w:val="00D74A43"/>
    <w:rsid w:val="00D74A8D"/>
    <w:rsid w:val="00D751FC"/>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C71"/>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5C"/>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B1E"/>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C99"/>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029"/>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401"/>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4CD1"/>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4"/>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1"/>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3C4B"/>
    <w:rsid w:val="00E74222"/>
    <w:rsid w:val="00E7474F"/>
    <w:rsid w:val="00E747E3"/>
    <w:rsid w:val="00E748DF"/>
    <w:rsid w:val="00E74C1F"/>
    <w:rsid w:val="00E74F5E"/>
    <w:rsid w:val="00E75486"/>
    <w:rsid w:val="00E7565A"/>
    <w:rsid w:val="00E75C21"/>
    <w:rsid w:val="00E75DA8"/>
    <w:rsid w:val="00E761F2"/>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336"/>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021"/>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4C4C"/>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2C2"/>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D8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D82"/>
    <w:rsid w:val="00F22EAF"/>
    <w:rsid w:val="00F22FFB"/>
    <w:rsid w:val="00F23025"/>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5AB"/>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ADA"/>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6E4B"/>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4874"/>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C56"/>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4ED"/>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677"/>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605"/>
    <w:rsid w:val="00FD3858"/>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2D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6264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left"/>
      <w:outlineLvl w:val="0"/>
    </w:pPr>
    <w:rPr>
      <w:rFonts w:cs="Calibri"/>
      <w:b/>
      <w:color w:val="FF8200"/>
      <w:kern w:val="0"/>
      <w:sz w:val="30"/>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jc w:val="left"/>
      <w:outlineLvl w:val="1"/>
    </w:pPr>
    <w:rPr>
      <w:rFonts w:cs="Calibri"/>
      <w:b/>
      <w:bCs/>
      <w:color w:val="0D0D0D" w:themeColor="text1" w:themeTint="F2"/>
      <w:sz w:val="30"/>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Tahoma" w:hAnsi="Tahoma" w:eastAsia="宋体" w:cs="Calibri"/>
      <w:b/>
      <w:color w:val="FF8200"/>
      <w:kern w:val="0"/>
      <w:sz w:val="30"/>
      <w:szCs w:val="32"/>
      <w:lang w:val="en-IN" w:eastAsia="en-US"/>
    </w:rPr>
  </w:style>
  <w:style w:type="character" w:customStyle="1" w:styleId="82">
    <w:name w:val="标题 2 字符1"/>
    <w:link w:val="3"/>
    <w:qFormat/>
    <w:uiPriority w:val="9"/>
    <w:rPr>
      <w:rFonts w:ascii="Tahoma" w:hAnsi="Tahoma" w:eastAsia="宋体" w:cs="Calibri"/>
      <w:b/>
      <w:bCs/>
      <w:color w:val="0D0D0D" w:themeColor="text1" w:themeTint="F2"/>
      <w:sz w:val="30"/>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240"/>
      <w:jc w:val="left"/>
    </w:pPr>
    <w:rPr>
      <w:rFonts w:ascii="Times New Roman" w:hAnsi="Times New Roman" w:eastAsia="仿宋"/>
      <w:i/>
      <w:iCs/>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仿宋"/>
      <w:i/>
      <w:iCs/>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表格"/>
    <w:basedOn w:val="113"/>
    <w:link w:val="152"/>
    <w:qFormat/>
    <w:uiPriority w:val="0"/>
    <w:pPr>
      <w:keepNext/>
      <w:keepLines/>
      <w:widowControl/>
      <w:tabs>
        <w:tab w:val="left" w:pos="288"/>
      </w:tabs>
      <w:topLinePunct w:val="0"/>
      <w:spacing w:before="240" w:after="120"/>
    </w:pPr>
    <w:rPr>
      <w:rFonts w:eastAsia="宋体" w:cstheme="minorBidi"/>
      <w:b/>
      <w:color w:val="FF8200"/>
      <w:lang w:val="en-IN" w:eastAsia="zh-CN"/>
    </w:rPr>
  </w:style>
  <w:style w:type="character" w:customStyle="1" w:styleId="152">
    <w:name w:val="表格 字符"/>
    <w:basedOn w:val="67"/>
    <w:link w:val="151"/>
    <w:qFormat/>
    <w:uiPriority w:val="0"/>
    <w:rPr>
      <w:rFonts w:ascii="Tahoma" w:hAnsi="Tahoma" w:eastAsia="宋体"/>
      <w:b/>
      <w:color w:val="FF8200"/>
      <w:kern w:val="0"/>
      <w:szCs w:val="22"/>
      <w:lang w:val="en-IN"/>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paragraph" w:customStyle="1" w:styleId="205">
    <w:name w:val="Table Style"/>
    <w:basedOn w:val="113"/>
    <w:link w:val="206"/>
    <w:qFormat/>
    <w:uiPriority w:val="0"/>
    <w:pPr>
      <w:keepNext/>
      <w:keepLines/>
      <w:numPr>
        <w:ilvl w:val="0"/>
        <w:numId w:val="3"/>
      </w:numPr>
      <w:tabs>
        <w:tab w:val="left" w:pos="288"/>
      </w:tabs>
      <w:topLinePunct w:val="0"/>
      <w:spacing w:before="240" w:after="120"/>
      <w:ind w:right="-50" w:rightChars="-50"/>
    </w:pPr>
    <w:rPr>
      <w:rFonts w:ascii="Times New Roman" w:hAnsi="Times New Roman" w:eastAsia="宋体" w:cstheme="minorBidi"/>
      <w:b/>
      <w:sz w:val="24"/>
      <w:lang w:val="en-IN"/>
    </w:rPr>
  </w:style>
  <w:style w:type="character" w:customStyle="1" w:styleId="206">
    <w:name w:val="Table Style Char"/>
    <w:basedOn w:val="67"/>
    <w:link w:val="205"/>
    <w:qFormat/>
    <w:uiPriority w:val="0"/>
    <w:rPr>
      <w:rFonts w:ascii="Times New Roman" w:hAnsi="Times New Roman" w:eastAsia="宋体"/>
      <w:b/>
      <w:kern w:val="0"/>
      <w:sz w:val="24"/>
      <w:szCs w:val="22"/>
      <w:lang w:val="en-IN"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1660</Words>
  <Characters>1873</Characters>
  <Lines>21</Lines>
  <Paragraphs>5</Paragraphs>
  <TotalTime>1267</TotalTime>
  <ScaleCrop>false</ScaleCrop>
  <LinksUpToDate>false</LinksUpToDate>
  <CharactersWithSpaces>1890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2026-01-07T09:35:27Z</dcterms:modified>
  <cp:revision>1047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6B460E1931944AE8BCDAE379DBD5A3F4_12</vt:lpwstr>
  </property>
</Properties>
</file>