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517262917"/>
      <w:bookmarkStart w:id="1" w:name="_Toc453597319"/>
      <w:bookmarkStart w:id="2" w:name="_Toc415143481"/>
      <w:bookmarkStart w:id="3" w:name="OLE_LINK40"/>
      <w:bookmarkStart w:id="4" w:name="OLE_LINK39"/>
      <w:bookmarkStart w:id="5" w:name="_Toc415142861"/>
      <w:bookmarkStart w:id="6" w:name="_Toc438987549"/>
      <w:bookmarkStart w:id="7" w:name="_Toc481801204"/>
      <w:bookmarkStart w:id="8" w:name="OLE_LINK15"/>
      <w:bookmarkStart w:id="9" w:name="_Toc415818939"/>
      <w:bookmarkStart w:id="10" w:name="_Toc418070112"/>
      <w:bookmarkStart w:id="11" w:name="OLE_LINK13"/>
      <w:bookmarkStart w:id="12" w:name="OLE_LINK24"/>
      <w:r>
        <w:rPr>
          <w:lang w:eastAsia="zh-CN"/>
        </w:rPr>
        <w:t>半导体用金属基复合材料</w:t>
      </w:r>
      <w:r>
        <w:rPr>
          <w:rFonts w:hint="eastAsia"/>
          <w:lang w:eastAsia="zh-CN"/>
        </w:rPr>
        <w:t>全球市场总体规模</w:t>
      </w:r>
    </w:p>
    <w:p>
      <w:pPr>
        <w:pStyle w:val="145"/>
        <w:rPr>
          <w:lang w:eastAsia="zh-CN"/>
        </w:rPr>
      </w:pPr>
      <w:r>
        <w:rPr>
          <w:rFonts w:hint="eastAsia"/>
          <w:lang w:eastAsia="zh-CN"/>
        </w:rPr>
        <w:t>金属基复合材料是以金属或合金为基体与各种增强材料制成的复合材料。 金属基复合材料可分为铝基、镁基、铜基、钛基等。MMC的主要优点是重量轻，可以减轻重量，而且其刚度、强度和密度均高于传统材料。</w:t>
      </w:r>
    </w:p>
    <w:p>
      <w:pPr>
        <w:pStyle w:val="145"/>
        <w:rPr>
          <w:lang w:eastAsia="zh-CN"/>
        </w:rPr>
      </w:pPr>
      <w:r>
        <w:rPr>
          <w:rFonts w:hint="eastAsia"/>
          <w:lang w:eastAsia="zh-CN"/>
        </w:rPr>
        <w:t>目前，广泛应用于半导体的MMC主要是AlMMC。AlMMC可用于AlSiC陶瓷散热基板、半导体设备零件、半导体封装管壳等。</w:t>
      </w:r>
    </w:p>
    <w:p>
      <w:pPr>
        <w:pStyle w:val="145"/>
        <w:jc w:val="center"/>
        <w:rPr>
          <w:lang w:eastAsia="zh-CN"/>
        </w:rPr>
      </w:pPr>
      <w:r>
        <w:drawing>
          <wp:inline distT="0" distB="0" distL="0" distR="0">
            <wp:extent cx="4218305" cy="2120265"/>
            <wp:effectExtent l="0" t="0" r="0" b="0"/>
            <wp:docPr id="13800798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079832" name="图片 1"/>
                    <pic:cNvPicPr>
                      <a:picLocks noChangeAspect="1"/>
                    </pic:cNvPicPr>
                  </pic:nvPicPr>
                  <pic:blipFill>
                    <a:blip r:embed="rId9"/>
                    <a:stretch>
                      <a:fillRect/>
                    </a:stretch>
                  </pic:blipFill>
                  <pic:spPr>
                    <a:xfrm>
                      <a:off x="0" y="0"/>
                      <a:ext cx="4244499" cy="2133803"/>
                    </a:xfrm>
                    <a:prstGeom prst="rect">
                      <a:avLst/>
                    </a:prstGeom>
                  </pic:spPr>
                </pic:pic>
              </a:graphicData>
            </a:graphic>
          </wp:inline>
        </w:drawing>
      </w:r>
    </w:p>
    <w:p>
      <w:pPr>
        <w:pStyle w:val="145"/>
        <w:rPr>
          <w:lang w:eastAsia="zh-CN"/>
        </w:rPr>
      </w:pPr>
      <w:r>
        <w:rPr>
          <w:rFonts w:hint="eastAsia"/>
          <w:lang w:eastAsia="zh-CN"/>
        </w:rPr>
        <w:t>根据QYResearch最新调研报告显示，预计2</w:t>
      </w:r>
      <w:r>
        <w:rPr>
          <w:lang w:eastAsia="zh-CN"/>
        </w:rPr>
        <w:t>029</w:t>
      </w:r>
      <w:r>
        <w:rPr>
          <w:rFonts w:hint="eastAsia"/>
          <w:lang w:eastAsia="zh-CN"/>
        </w:rPr>
        <w:t>年全球</w:t>
      </w:r>
      <w:r>
        <w:rPr>
          <w:lang w:eastAsia="zh-CN"/>
        </w:rPr>
        <w:t>半导体用金属基复合材料</w:t>
      </w:r>
      <w:r>
        <w:rPr>
          <w:rFonts w:hint="eastAsia"/>
          <w:lang w:eastAsia="zh-CN"/>
        </w:rPr>
        <w:t>市场规模将达到</w:t>
      </w:r>
      <w:r>
        <w:rPr>
          <w:lang w:eastAsia="zh-CN"/>
        </w:rPr>
        <w:t>2.2</w:t>
      </w:r>
      <w:r>
        <w:rPr>
          <w:rFonts w:hint="eastAsia"/>
          <w:lang w:eastAsia="zh-CN"/>
        </w:rPr>
        <w:t>亿美元，未来几年年复合增长率CAGR为</w:t>
      </w:r>
      <w:r>
        <w:rPr>
          <w:lang w:eastAsia="zh-CN"/>
        </w:rPr>
        <w:t>6.8</w:t>
      </w:r>
      <w:r>
        <w:rPr>
          <w:rFonts w:hint="eastAsia"/>
          <w:lang w:eastAsia="zh-CN"/>
        </w:rPr>
        <w:t>%。</w:t>
      </w:r>
    </w:p>
    <w:p>
      <w:pPr>
        <w:pStyle w:val="148"/>
        <w:rPr>
          <w:lang w:eastAsia="zh-CN"/>
        </w:rPr>
      </w:pPr>
      <w:r>
        <w:rPr>
          <w:lang w:eastAsia="zh-CN"/>
        </w:rPr>
        <w:t>半导体用金属基复合材料</w:t>
      </w:r>
      <w:r>
        <w:rPr>
          <w:rFonts w:hint="eastAsia"/>
          <w:lang w:eastAsia="zh-CN"/>
        </w:rPr>
        <w:t>，全球市场总体规模</w:t>
      </w:r>
    </w:p>
    <w:p>
      <w:pPr>
        <w:pStyle w:val="145"/>
      </w:pPr>
      <w:r>
        <w:drawing>
          <wp:inline distT="0" distB="0" distL="0" distR="0">
            <wp:extent cx="6188710" cy="2936875"/>
            <wp:effectExtent l="0" t="0" r="2540" b="0"/>
            <wp:docPr id="91116053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半导体用金属基复合材料</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半导体用金属基复合材料</w:t>
      </w:r>
      <w:r>
        <w:rPr>
          <w:rFonts w:hint="eastAsia"/>
          <w:lang w:eastAsia="zh-CN"/>
        </w:rPr>
        <w:t>市场前</w:t>
      </w:r>
      <w:r>
        <w:rPr>
          <w:lang w:eastAsia="zh-CN"/>
        </w:rPr>
        <w:t>10</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6188710" cy="4493895"/>
            <wp:effectExtent l="0" t="0" r="2540" b="1905"/>
            <wp:docPr id="173613417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如上图表/数据，摘自QYResearch报告“全球</w:t>
      </w:r>
      <w:r>
        <w:rPr>
          <w:lang w:eastAsia="zh-CN"/>
        </w:rPr>
        <w:t>半导体用金属基复合材料</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5"/>
        <w:rPr>
          <w:lang w:eastAsia="zh-CN"/>
        </w:rPr>
      </w:pPr>
      <w:r>
        <w:rPr>
          <w:rFonts w:hint="eastAsia"/>
          <w:lang w:eastAsia="zh-CN"/>
        </w:rPr>
        <w:t>全球范围内，半导体用金属基复合材料生产商主要包括Coherent、Ferrotec、Materion、有研复材、Japan Fine Ceramics等。2022年，全球前四大厂商占有大约72.0%的市场份额。</w:t>
      </w:r>
    </w:p>
    <w:p>
      <w:pPr>
        <w:pStyle w:val="145"/>
        <w:rPr>
          <w:lang w:eastAsia="zh-CN"/>
        </w:rPr>
      </w:pPr>
      <w:r>
        <w:rPr>
          <w:rFonts w:hint="eastAsia"/>
          <w:lang w:eastAsia="zh-CN"/>
        </w:rPr>
        <w:t>目前，全球核心厂商主要分布在美国、日本。</w:t>
      </w:r>
    </w:p>
    <w:p>
      <w:pPr>
        <w:pStyle w:val="145"/>
        <w:rPr>
          <w:lang w:eastAsia="zh-CN"/>
        </w:rPr>
      </w:pPr>
    </w:p>
    <w:p>
      <w:pPr>
        <w:pStyle w:val="145"/>
        <w:rPr>
          <w:lang w:eastAsia="zh-CN"/>
        </w:rPr>
      </w:pPr>
    </w:p>
    <w:p>
      <w:pPr>
        <w:pStyle w:val="145"/>
        <w:rPr>
          <w:lang w:eastAsia="zh-CN"/>
        </w:rPr>
      </w:pPr>
    </w:p>
    <w:p>
      <w:pPr>
        <w:pStyle w:val="148"/>
        <w:rPr>
          <w:lang w:eastAsia="zh-CN"/>
        </w:rPr>
      </w:pPr>
      <w:r>
        <w:rPr>
          <w:lang w:eastAsia="zh-CN"/>
        </w:rPr>
        <w:t>半导体用金属基复合材料</w:t>
      </w:r>
      <w:r>
        <w:rPr>
          <w:rFonts w:hint="eastAsia"/>
          <w:lang w:eastAsia="zh-CN"/>
        </w:rPr>
        <w:t>，全球市场规模，按产品类型细分，</w:t>
      </w:r>
      <w:r>
        <w:rPr>
          <w:lang w:eastAsia="zh-CN"/>
        </w:rPr>
        <w:t>A</w:t>
      </w:r>
      <w:r>
        <w:rPr>
          <w:rFonts w:hint="eastAsia"/>
          <w:lang w:eastAsia="zh-CN"/>
        </w:rPr>
        <w:t>lSiC处于主导地位</w:t>
      </w:r>
    </w:p>
    <w:p>
      <w:pPr>
        <w:pStyle w:val="145"/>
        <w:rPr>
          <w:lang w:eastAsia="zh-CN"/>
        </w:rPr>
      </w:pPr>
      <w:r>
        <w:rPr>
          <w:lang w:eastAsia="zh-CN"/>
        </w:rPr>
        <w:drawing>
          <wp:inline distT="0" distB="0" distL="0" distR="0">
            <wp:extent cx="6181725" cy="2849880"/>
            <wp:effectExtent l="0" t="0" r="0" b="7620"/>
            <wp:docPr id="10066920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692056"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195688" cy="2856357"/>
                    </a:xfrm>
                    <a:prstGeom prst="rect">
                      <a:avLst/>
                    </a:prstGeom>
                    <a:noFill/>
                  </pic:spPr>
                </pic:pic>
              </a:graphicData>
            </a:graphic>
          </wp:inline>
        </w:drawing>
      </w:r>
    </w:p>
    <w:p>
      <w:pPr>
        <w:pStyle w:val="145"/>
        <w:rPr>
          <w:lang w:eastAsia="zh-CN"/>
        </w:rPr>
      </w:pPr>
      <w:r>
        <w:drawing>
          <wp:inline distT="0" distB="0" distL="0" distR="0">
            <wp:extent cx="6188710" cy="2922270"/>
            <wp:effectExtent l="0" t="0" r="2540" b="0"/>
            <wp:docPr id="188744213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143"/>
        <w:rPr>
          <w:lang w:eastAsia="zh-CN"/>
        </w:rPr>
      </w:pPr>
      <w:r>
        <w:rPr>
          <w:rFonts w:hint="eastAsia"/>
          <w:lang w:eastAsia="zh-CN"/>
        </w:rPr>
        <w:t>如上图表/数据，摘自QYResearch最新报告“全球</w:t>
      </w:r>
      <w:r>
        <w:rPr>
          <w:lang w:eastAsia="zh-CN"/>
        </w:rPr>
        <w:t>半导体用金属基复合材料</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就产品类型而言，目前AlSi</w:t>
      </w:r>
      <w:r>
        <w:rPr>
          <w:lang w:eastAsia="zh-CN"/>
        </w:rPr>
        <w:t>C</w:t>
      </w:r>
      <w:r>
        <w:rPr>
          <w:rFonts w:hint="eastAsia"/>
          <w:lang w:eastAsia="zh-CN"/>
        </w:rPr>
        <w:t>是最主要的细分产品，占据大约</w:t>
      </w:r>
      <w:r>
        <w:rPr>
          <w:lang w:eastAsia="zh-CN"/>
        </w:rPr>
        <w:t>80</w:t>
      </w:r>
      <w:r>
        <w:rPr>
          <w:rFonts w:hint="eastAsia"/>
          <w:lang w:eastAsia="zh-CN"/>
        </w:rPr>
        <w:t>%的份额。</w:t>
      </w:r>
    </w:p>
    <w:p>
      <w:pPr>
        <w:pStyle w:val="145"/>
        <w:rPr>
          <w:lang w:eastAsia="zh-CN"/>
        </w:rPr>
      </w:pPr>
      <w:r>
        <w:rPr>
          <w:rFonts w:hint="eastAsia"/>
          <w:lang w:eastAsia="zh-CN"/>
        </w:rPr>
        <w:t>就产品应用而言，目前半导体设备组件是最主要的需求来源，占据大约75.3%的份额。</w:t>
      </w: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1、国家政策支持是半导体产业核心驱动力</w:t>
      </w:r>
    </w:p>
    <w:p>
      <w:pPr>
        <w:pStyle w:val="145"/>
        <w:rPr>
          <w:lang w:eastAsia="zh-CN"/>
        </w:rPr>
      </w:pPr>
      <w:r>
        <w:rPr>
          <w:rFonts w:hint="eastAsia"/>
          <w:lang w:eastAsia="zh-CN"/>
        </w:rPr>
        <w:t>2、下游需求增长带动复合材料行业发展</w:t>
      </w: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1、生产和技术壁垒</w:t>
      </w:r>
    </w:p>
    <w:p>
      <w:pPr>
        <w:pStyle w:val="145"/>
        <w:rPr>
          <w:lang w:eastAsia="zh-CN"/>
        </w:rPr>
      </w:pPr>
      <w:r>
        <w:rPr>
          <w:rFonts w:hint="eastAsia"/>
          <w:lang w:eastAsia="zh-CN"/>
        </w:rPr>
        <w:t>2、成本限制</w:t>
      </w:r>
    </w:p>
    <w:p>
      <w:pPr>
        <w:pStyle w:val="145"/>
        <w:rPr>
          <w:lang w:eastAsia="zh-CN"/>
        </w:rPr>
      </w:pPr>
      <w:r>
        <w:rPr>
          <w:rFonts w:hint="eastAsia"/>
          <w:lang w:eastAsia="zh-CN"/>
        </w:rPr>
        <w:t>行业发展趋势</w:t>
      </w:r>
      <w:r>
        <w:rPr>
          <w:lang w:eastAsia="zh-CN"/>
        </w:rPr>
        <w:t>:</w:t>
      </w:r>
    </w:p>
    <w:p>
      <w:pPr>
        <w:pStyle w:val="145"/>
        <w:rPr>
          <w:lang w:eastAsia="zh-CN"/>
        </w:rPr>
      </w:pPr>
      <w:r>
        <w:rPr>
          <w:rFonts w:hint="eastAsia"/>
          <w:lang w:eastAsia="zh-CN"/>
        </w:rPr>
        <w:t>1、轻质、高强</w:t>
      </w:r>
    </w:p>
    <w:p>
      <w:pPr>
        <w:pStyle w:val="145"/>
        <w:rPr>
          <w:lang w:eastAsia="zh-CN"/>
        </w:rPr>
      </w:pPr>
      <w:r>
        <w:rPr>
          <w:rFonts w:hint="eastAsia"/>
          <w:lang w:eastAsia="zh-CN"/>
        </w:rPr>
        <w:t>2. 多功能AlMMC</w:t>
      </w:r>
    </w:p>
    <w:p>
      <w:pPr>
        <w:pStyle w:val="145"/>
        <w:rPr>
          <w:lang w:eastAsia="zh-CN"/>
        </w:rPr>
      </w:pPr>
    </w:p>
    <w:p>
      <w:pPr>
        <w:pStyle w:val="167"/>
        <w:rPr>
          <w:lang w:eastAsia="zh-CN"/>
        </w:rPr>
      </w:pPr>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p>
      <w:pPr>
        <w:rPr>
          <w:rFonts w:cs="Times New Roman"/>
          <w:kern w:val="0"/>
          <w:sz w:val="20"/>
          <w:szCs w:val="20"/>
        </w:rPr>
      </w:pPr>
      <w:r>
        <w:rPr>
          <w:rFonts w:hint="eastAsia" w:cs="Times New Roman"/>
          <w:kern w:val="0"/>
          <w:sz w:val="20"/>
          <w:szCs w:val="20"/>
        </w:rPr>
        <w:t>董家时--本文主要分析师</w:t>
      </w:r>
    </w:p>
    <w:p>
      <w:pPr>
        <w:pStyle w:val="145"/>
        <w:rPr>
          <w:lang w:eastAsia="zh-CN"/>
        </w:rPr>
      </w:pPr>
      <w:r>
        <w:rPr>
          <w:lang w:eastAsia="zh-CN"/>
        </w:rPr>
        <w:t>QYResearch</w:t>
      </w:r>
      <w:r>
        <w:rPr>
          <w:rFonts w:hint="eastAsia"/>
          <w:lang w:eastAsia="zh-CN"/>
        </w:rPr>
        <w:t>广州分部分析师，作为</w:t>
      </w:r>
      <w:r>
        <w:rPr>
          <w:lang w:eastAsia="zh-CN"/>
        </w:rPr>
        <w:t>QYResearch</w:t>
      </w:r>
      <w:r>
        <w:rPr>
          <w:rFonts w:hint="eastAsia"/>
          <w:lang w:eastAsia="zh-CN"/>
        </w:rPr>
        <w:t>半导体设备和材料部门的成员，具有4年行研工作经验，主要研究方向是机器人、半导体设备、材料和导热粉末领域，部分细分研究课题包括塑封机、前驱体、电镀设备、导热球铝等，同时也从事细分市场报告的开发，并参与定制项目的撰写。</w:t>
      </w:r>
    </w:p>
    <w:p>
      <w:pPr>
        <w:pStyle w:val="145"/>
        <w:rPr>
          <w:lang w:eastAsia="zh-CN"/>
        </w:rPr>
      </w:pPr>
    </w:p>
    <w:p>
      <w:pPr>
        <w:pStyle w:val="167"/>
        <w:rPr>
          <w:lang w:eastAsia="zh-CN"/>
        </w:rPr>
      </w:pPr>
      <w:bookmarkStart w:id="19" w:name="_GoBack"/>
      <w:bookmarkEnd w:id="19"/>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87"/>
    <w:bookmarkStart w:id="14" w:name="_Hlk149300690"/>
    <w:bookmarkStart w:id="15" w:name="_Hlk149300692"/>
    <w:bookmarkStart w:id="16" w:name="_Hlk149300688"/>
    <w:bookmarkStart w:id="17" w:name="_Hlk149300691"/>
    <w:bookmarkStart w:id="18" w:name="_Hlk149300689"/>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2F88"/>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4FF2"/>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A90"/>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CD5"/>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5F94"/>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58"/>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671F"/>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35"/>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4EE9"/>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3C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D0E"/>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62"/>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C7F71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uiPriority w:val="0"/>
    <w:rPr>
      <w:i/>
      <w:iCs/>
    </w:rPr>
  </w:style>
  <w:style w:type="character" w:styleId="71">
    <w:name w:val="Hyperlink"/>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3.xml"/><Relationship Id="rId12" Type="http://schemas.openxmlformats.org/officeDocument/2006/relationships/image" Target="media/image4.png"/><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Administrator\Desktop\&#21322;&#23548;&#20307;&#29992;&#37329;&#23646;&#22522;&#22797;&#26448;\&#35266;&#28857;&#25968;&#25454;&#22270;&#34920;&#27169;&#26495;-&#27169;&#26495;%20202312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1322;&#23548;&#20307;&#29992;&#37329;&#23646;&#22522;&#22797;&#26448;\&#35266;&#28857;&#25968;&#25454;&#22270;&#34920;&#27169;&#26495;-&#27169;&#26495;%202023122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1322;&#23548;&#20307;&#29992;&#37329;&#23646;&#22522;&#22797;&#26448;\&#35266;&#28857;&#25968;&#25454;&#22270;&#34920;&#27169;&#26495;-&#27169;&#26495;%20202312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112.15</c:v>
                </c:pt>
                <c:pt idx="1">
                  <c:v>160.29</c:v>
                </c:pt>
                <c:pt idx="2">
                  <c:v>221.11</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企业排序!$K$1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dLbl>
              <c:idx val="9"/>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企业排序!$F$2:$F$11</c:f>
              <c:strCache>
                <c:ptCount val="10"/>
                <c:pt idx="0">
                  <c:v>Advanced Composite</c:v>
                </c:pt>
                <c:pt idx="1">
                  <c:v>Plansee</c:v>
                </c:pt>
                <c:pt idx="2">
                  <c:v>CPS Technologies</c:v>
                </c:pt>
                <c:pt idx="3">
                  <c:v>Denka</c:v>
                </c:pt>
                <c:pt idx="4">
                  <c:v>阿美特克</c:v>
                </c:pt>
                <c:pt idx="5">
                  <c:v>Japan Fine Ceramics</c:v>
                </c:pt>
                <c:pt idx="6">
                  <c:v>有研复材</c:v>
                </c:pt>
                <c:pt idx="7">
                  <c:v>Materion</c:v>
                </c:pt>
                <c:pt idx="8">
                  <c:v>Ferrotec</c:v>
                </c:pt>
                <c:pt idx="9">
                  <c:v>Coherent</c:v>
                </c:pt>
              </c:strCache>
            </c:strRef>
          </c:cat>
          <c:val>
            <c:numRef>
              <c:f>企业排序!$K$2:$K$11</c:f>
              <c:numCache>
                <c:formatCode>0.0%</c:formatCode>
                <c:ptCount val="10"/>
                <c:pt idx="0">
                  <c:v>0.00368082849834675</c:v>
                </c:pt>
                <c:pt idx="1">
                  <c:v>0.0145985401459854</c:v>
                </c:pt>
                <c:pt idx="2">
                  <c:v>0.0232079356166947</c:v>
                </c:pt>
                <c:pt idx="3">
                  <c:v>0.0326907480192152</c:v>
                </c:pt>
                <c:pt idx="4">
                  <c:v>0.0466030320044919</c:v>
                </c:pt>
                <c:pt idx="5">
                  <c:v>0.0845966685382744</c:v>
                </c:pt>
                <c:pt idx="6">
                  <c:v>0.0890261401210306</c:v>
                </c:pt>
                <c:pt idx="7">
                  <c:v>0.0926445816956766</c:v>
                </c:pt>
                <c:pt idx="8">
                  <c:v>0.204067627425292</c:v>
                </c:pt>
                <c:pt idx="9">
                  <c:v>0.332459916401522</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a:t>
            </a:r>
            <a:r>
              <a:rPr lang="en-US" altLang="zh-CN" sz="1200" baseline="0">
                <a:latin typeface="Book Antiqua" panose="02040602050305030304" pitchFamily="1" charset="0"/>
              </a:rPr>
              <a:t> </a:t>
            </a:r>
            <a:r>
              <a:rPr lang="en-US" altLang="zh-CN" sz="1200">
                <a:latin typeface="Book Antiqua" panose="02040602050305030304" pitchFamily="1" charset="0"/>
              </a:rPr>
              <a:t>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分类!$AI$1</c:f>
              <c:strCache>
                <c:ptCount val="1"/>
                <c:pt idx="0">
                  <c:v>2018</c:v>
                </c:pt>
              </c:strCache>
            </c:strRef>
          </c:tx>
          <c:spPr>
            <a:solidFill>
              <a:srgbClr val="FFC000"/>
            </a:solidFill>
            <a:ln>
              <a:noFill/>
            </a:ln>
            <a:effectLst/>
          </c:spPr>
          <c:invertIfNegative val="0"/>
          <c:dLbls>
            <c:delete val="1"/>
          </c:dLbls>
          <c:cat>
            <c:strRef>
              <c:f>分类!$AH$2:$AH$10</c:f>
              <c:strCache>
                <c:ptCount val="2"/>
                <c:pt idx="0">
                  <c:v>Si/Al和其他复合材料</c:v>
                </c:pt>
                <c:pt idx="1">
                  <c:v>AlSiC复合材料</c:v>
                </c:pt>
              </c:strCache>
            </c:strRef>
          </c:cat>
          <c:val>
            <c:numRef>
              <c:f>分类!$AI$2:$AI$10</c:f>
              <c:numCache>
                <c:formatCode>#,##0_);[Red]\(#,##0\)</c:formatCode>
                <c:ptCount val="2"/>
                <c:pt idx="0">
                  <c:v>24.38</c:v>
                </c:pt>
                <c:pt idx="1">
                  <c:v>87.78</c:v>
                </c:pt>
              </c:numCache>
            </c:numRef>
          </c:val>
        </c:ser>
        <c:ser>
          <c:idx val="1"/>
          <c:order val="1"/>
          <c:tx>
            <c:strRef>
              <c:f>分类!$AJ$1</c:f>
              <c:strCache>
                <c:ptCount val="1"/>
                <c:pt idx="0">
                  <c:v>2022</c:v>
                </c:pt>
              </c:strCache>
            </c:strRef>
          </c:tx>
          <c:spPr>
            <a:solidFill>
              <a:schemeClr val="bg1">
                <a:lumMod val="50000"/>
              </a:schemeClr>
            </a:solidFill>
            <a:ln>
              <a:noFill/>
            </a:ln>
            <a:effectLst/>
          </c:spPr>
          <c:invertIfNegative val="0"/>
          <c:dLbls>
            <c:delete val="1"/>
          </c:dLbls>
          <c:cat>
            <c:strRef>
              <c:f>分类!$AH$2:$AH$10</c:f>
              <c:strCache>
                <c:ptCount val="2"/>
                <c:pt idx="0">
                  <c:v>Si/Al和其他复合材料</c:v>
                </c:pt>
                <c:pt idx="1">
                  <c:v>AlSiC复合材料</c:v>
                </c:pt>
              </c:strCache>
            </c:strRef>
          </c:cat>
          <c:val>
            <c:numRef>
              <c:f>分类!$AJ$2:$AJ$10</c:f>
              <c:numCache>
                <c:formatCode>#,##0_);[Red]\(#,##0\)</c:formatCode>
                <c:ptCount val="2"/>
                <c:pt idx="0">
                  <c:v>33</c:v>
                </c:pt>
                <c:pt idx="1">
                  <c:v>127.29</c:v>
                </c:pt>
              </c:numCache>
            </c:numRef>
          </c:val>
        </c:ser>
        <c:ser>
          <c:idx val="2"/>
          <c:order val="2"/>
          <c:tx>
            <c:strRef>
              <c:f>分类!$AK$1</c:f>
              <c:strCache>
                <c:ptCount val="1"/>
                <c:pt idx="0">
                  <c:v>2029</c:v>
                </c:pt>
              </c:strCache>
            </c:strRef>
          </c:tx>
          <c:spPr>
            <a:solidFill>
              <a:srgbClr val="002060"/>
            </a:solidFill>
            <a:ln>
              <a:noFill/>
            </a:ln>
            <a:effectLst/>
          </c:spPr>
          <c:invertIfNegative val="0"/>
          <c:dLbls>
            <c:delete val="1"/>
          </c:dLbls>
          <c:cat>
            <c:strRef>
              <c:f>分类!$AH$2:$AH$10</c:f>
              <c:strCache>
                <c:ptCount val="2"/>
                <c:pt idx="0">
                  <c:v>Si/Al和其他复合材料</c:v>
                </c:pt>
                <c:pt idx="1">
                  <c:v>AlSiC复合材料</c:v>
                </c:pt>
              </c:strCache>
            </c:strRef>
          </c:cat>
          <c:val>
            <c:numRef>
              <c:f>分类!$AK$2:$AK$10</c:f>
              <c:numCache>
                <c:formatCode>#,##0_);[Red]\(#,##0\)</c:formatCode>
                <c:ptCount val="2"/>
                <c:pt idx="0">
                  <c:v>44.48</c:v>
                </c:pt>
                <c:pt idx="1">
                  <c:v>176.63</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0.55496</cdr:x>
      <cdr:y>0.12769</cdr:y>
    </cdr:from>
    <cdr:to>
      <cdr:x>0.73481</cdr:x>
      <cdr:y>0.46826</cdr:y>
    </cdr:to>
    <cdr:grpSp>
      <cdr:nvGrpSpPr>
        <cdr:cNvPr id="2" name="组合 1"/>
        <cdr:cNvGrpSpPr/>
      </cdr:nvGrpSpPr>
      <cdr:grpSpPr xmlns:a="http://schemas.openxmlformats.org/drawingml/2006/main">
        <a:xfrm rot="1708678">
          <a:off x="3434487" y="375010"/>
          <a:ext cx="1113039" cy="1000212"/>
          <a:chOff x="2859058" y="1061399"/>
          <a:chExt cx="759437" cy="821673"/>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859058" y="1061399"/>
            <a:ext cx="759437" cy="821673"/>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649119">
            <a:off x="2921378" y="1388265"/>
            <a:ext cx="619687" cy="185800"/>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宋体" panose="02010600030101010101" charset="-122"/>
              </a:rPr>
              <a:t>6.8%</a:t>
            </a:r>
            <a:endParaRPr lang="zh-CN"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0.22813</cdr:x>
      <cdr:y>0.34238</cdr:y>
    </cdr:from>
    <cdr:to>
      <cdr:x>0.42527</cdr:x>
      <cdr:y>0.6158</cdr:y>
    </cdr:to>
    <cdr:grpSp>
      <cdr:nvGrpSpPr>
        <cdr:cNvPr id="5" name="组合 4"/>
        <cdr:cNvGrpSpPr/>
      </cdr:nvGrpSpPr>
      <cdr:grpSpPr xmlns:a="http://schemas.openxmlformats.org/drawingml/2006/main">
        <a:xfrm rot="1783323">
          <a:off x="1411830" y="1005527"/>
          <a:ext cx="1220042" cy="803000"/>
          <a:chOff x="3065378" y="1630469"/>
          <a:chExt cx="1010935" cy="846429"/>
        </a:xfrm>
      </cdr:grpSpPr>
      <cdr:cxnSp>
        <cdr:nvCxnSpPr>
          <cdr:cNvPr id="6" name="直接箭头连接符 5"/>
          <cdr:cNvCxnSpPr/>
        </cdr:nvCxnSpPr>
        <cdr:spPr xmlns:a="http://schemas.openxmlformats.org/drawingml/2006/main">
          <a:xfrm xmlns:a="http://schemas.openxmlformats.org/drawingml/2006/main" rot="19816677" flipV="1">
            <a:off x="3065378" y="1822248"/>
            <a:ext cx="1010935" cy="464804"/>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584799">
            <a:off x="3141932" y="1957421"/>
            <a:ext cx="846429" cy="19252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9.34%</a:t>
            </a:r>
            <a:endParaRPr lang="zh-CN">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8</Pages>
  <Words>287</Words>
  <Characters>1639</Characters>
  <Lines>13</Lines>
  <Paragraphs>3</Paragraphs>
  <TotalTime>656</TotalTime>
  <ScaleCrop>false</ScaleCrop>
  <LinksUpToDate>false</LinksUpToDate>
  <CharactersWithSpaces>1923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2024-01-17T09:57:24Z</dcterms:modified>
  <cp:revision>821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2558A6BBD5BA4CB286B923C8B23E5DE8_12</vt:lpwstr>
  </property>
</Properties>
</file>