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20" w:beforeLines="50" w:after="240" w:afterLines="100" w:line="320" w:lineRule="exact"/>
        <w:jc w:val="center"/>
        <w:rPr>
          <w:rFonts w:hint="eastAsia" w:cs="宋体"/>
          <w:b/>
          <w:bCs w:val="0"/>
          <w:color w:val="auto"/>
          <w:sz w:val="28"/>
          <w:szCs w:val="28"/>
          <w:lang w:val="en-US" w:eastAsia="zh-CN"/>
        </w:rPr>
      </w:pPr>
      <w:r>
        <w:rPr>
          <w:rFonts w:hint="eastAsia" w:ascii="宋体" w:hAnsi="宋体" w:eastAsia="宋体" w:cs="宋体"/>
          <w:b/>
          <w:bCs w:val="0"/>
          <w:color w:val="auto"/>
          <w:sz w:val="28"/>
          <w:szCs w:val="28"/>
        </w:rPr>
        <w:t>车用燃气气瓶安全生产知识考核</w:t>
      </w:r>
      <w:r>
        <w:rPr>
          <w:rFonts w:hint="eastAsia" w:cs="宋体"/>
          <w:b/>
          <w:bCs w:val="0"/>
          <w:color w:val="auto"/>
          <w:sz w:val="28"/>
          <w:szCs w:val="28"/>
          <w:lang w:val="en-US" w:eastAsia="zh-CN"/>
        </w:rPr>
        <w:t>A</w:t>
      </w:r>
    </w:p>
    <w:p>
      <w:pPr>
        <w:spacing w:before="120" w:beforeLines="50" w:after="240" w:afterLines="100" w:line="320" w:lineRule="exact"/>
        <w:jc w:val="left"/>
        <w:rPr>
          <w:rFonts w:hint="default" w:cs="宋体"/>
          <w:b w:val="0"/>
          <w:bCs/>
          <w:color w:val="auto"/>
          <w:sz w:val="21"/>
          <w:szCs w:val="21"/>
          <w:lang w:val="en-US" w:eastAsia="zh-CN"/>
        </w:rPr>
      </w:pPr>
      <w:r>
        <w:rPr>
          <w:rFonts w:hint="eastAsia" w:cs="宋体"/>
          <w:b w:val="0"/>
          <w:bCs/>
          <w:color w:val="auto"/>
          <w:sz w:val="21"/>
          <w:szCs w:val="21"/>
          <w:lang w:val="en-US" w:eastAsia="zh-CN"/>
        </w:rPr>
        <w:t>一、选择判断题（共40题，每题2分）</w:t>
      </w:r>
    </w:p>
    <w:tbl>
      <w:tblPr>
        <w:tblStyle w:val="2"/>
        <w:tblW w:w="9071" w:type="dxa"/>
        <w:tblCellSpacing w:w="0" w:type="dxa"/>
        <w:tblInd w:w="0" w:type="dxa"/>
        <w:tblLayout w:type="fixed"/>
        <w:tblCellMar>
          <w:top w:w="0" w:type="dxa"/>
          <w:left w:w="0" w:type="dxa"/>
          <w:bottom w:w="0" w:type="dxa"/>
          <w:right w:w="0" w:type="dxa"/>
        </w:tblCellMar>
      </w:tblPr>
      <w:tblGrid>
        <w:gridCol w:w="525"/>
        <w:gridCol w:w="8546"/>
      </w:tblGrid>
      <w:tr>
        <w:tblPrEx>
          <w:tblCellMar>
            <w:top w:w="0" w:type="dxa"/>
            <w:left w:w="0" w:type="dxa"/>
            <w:bottom w:w="0" w:type="dxa"/>
            <w:right w:w="0" w:type="dxa"/>
          </w:tblCellMar>
        </w:tblPrEx>
        <w:trPr>
          <w:tblCellSpacing w:w="0" w:type="dxa"/>
        </w:trPr>
        <w:tc>
          <w:tcPr>
            <w:tcW w:w="525" w:type="dxa"/>
            <w:noWrap w:val="0"/>
            <w:vAlign w:val="top"/>
          </w:tcPr>
          <w:p>
            <w:pPr>
              <w:spacing w:line="320" w:lineRule="exact"/>
              <w:jc w:val="both"/>
              <w:rPr>
                <w:sz w:val="21"/>
                <w:szCs w:val="21"/>
              </w:rPr>
            </w:pPr>
            <w:r>
              <w:rPr>
                <w:rStyle w:val="4"/>
                <w:rFonts w:hint="eastAsia"/>
                <w:sz w:val="21"/>
                <w:szCs w:val="21"/>
              </w:rPr>
              <w:t>1、</w:t>
            </w:r>
          </w:p>
        </w:tc>
        <w:tc>
          <w:tcPr>
            <w:tcW w:w="8546" w:type="dxa"/>
            <w:noWrap w:val="0"/>
            <w:vAlign w:val="top"/>
          </w:tcPr>
          <w:p>
            <w:pPr>
              <w:spacing w:line="320" w:lineRule="exact"/>
              <w:jc w:val="both"/>
              <w:rPr>
                <w:sz w:val="21"/>
                <w:szCs w:val="21"/>
              </w:rPr>
            </w:pPr>
            <w:r>
              <w:rPr>
                <w:rStyle w:val="4"/>
                <w:rFonts w:hint="eastAsia"/>
                <w:sz w:val="21"/>
                <w:szCs w:val="21"/>
              </w:rPr>
              <w:t>【法规知识】《安全生产法》规定：生产经营单位的从业人员有依法获得安全保障的权利，并应当依法履行安全生产方面的义务。（ ）  答案：A</w:t>
            </w:r>
          </w:p>
        </w:tc>
      </w:tr>
      <w:tr>
        <w:tblPrEx>
          <w:tblCellMar>
            <w:top w:w="0" w:type="dxa"/>
            <w:left w:w="0" w:type="dxa"/>
            <w:bottom w:w="0" w:type="dxa"/>
            <w:right w:w="0" w:type="dxa"/>
          </w:tblCellMar>
        </w:tblPrEx>
        <w:trPr>
          <w:tblCellSpacing w:w="0" w:type="dxa"/>
        </w:trPr>
        <w:tc>
          <w:tcPr>
            <w:tcW w:w="525" w:type="dxa"/>
            <w:noWrap w:val="0"/>
            <w:vAlign w:val="top"/>
          </w:tcPr>
          <w:p>
            <w:pPr>
              <w:spacing w:line="320" w:lineRule="exact"/>
              <w:jc w:val="both"/>
              <w:rPr>
                <w:sz w:val="21"/>
                <w:szCs w:val="21"/>
              </w:rPr>
            </w:pPr>
          </w:p>
        </w:tc>
        <w:tc>
          <w:tcPr>
            <w:tcW w:w="8546" w:type="dxa"/>
            <w:noWrap w:val="0"/>
            <w:vAlign w:val="top"/>
          </w:tcPr>
          <w:p>
            <w:pPr>
              <w:spacing w:line="320" w:lineRule="exact"/>
              <w:jc w:val="both"/>
              <w:rPr>
                <w:sz w:val="21"/>
                <w:szCs w:val="21"/>
              </w:rPr>
            </w:pPr>
            <w:r>
              <w:rPr>
                <w:rStyle w:val="4"/>
                <w:rFonts w:hint="eastAsia"/>
                <w:sz w:val="21"/>
                <w:szCs w:val="21"/>
              </w:rPr>
              <w:t xml:space="preserve">    A、正确；   B、错误 </w:t>
            </w:r>
          </w:p>
        </w:tc>
      </w:tr>
      <w:tr>
        <w:tblPrEx>
          <w:tblCellMar>
            <w:top w:w="0" w:type="dxa"/>
            <w:left w:w="0" w:type="dxa"/>
            <w:bottom w:w="0" w:type="dxa"/>
            <w:right w:w="0" w:type="dxa"/>
          </w:tblCellMar>
        </w:tblPrEx>
        <w:trPr>
          <w:tblCellSpacing w:w="0" w:type="dxa"/>
        </w:trPr>
        <w:tc>
          <w:tcPr>
            <w:tcW w:w="525" w:type="dxa"/>
            <w:noWrap w:val="0"/>
            <w:vAlign w:val="top"/>
          </w:tcPr>
          <w:p>
            <w:pPr>
              <w:spacing w:line="320" w:lineRule="exact"/>
              <w:jc w:val="both"/>
              <w:rPr>
                <w:sz w:val="21"/>
                <w:szCs w:val="21"/>
              </w:rPr>
            </w:pPr>
            <w:r>
              <w:rPr>
                <w:rStyle w:val="4"/>
                <w:rFonts w:hint="eastAsia"/>
                <w:sz w:val="21"/>
                <w:szCs w:val="21"/>
              </w:rPr>
              <w:t>2、</w:t>
            </w:r>
          </w:p>
        </w:tc>
        <w:tc>
          <w:tcPr>
            <w:tcW w:w="8546" w:type="dxa"/>
            <w:noWrap w:val="0"/>
            <w:vAlign w:val="top"/>
          </w:tcPr>
          <w:p>
            <w:pPr>
              <w:spacing w:line="320" w:lineRule="exact"/>
              <w:jc w:val="both"/>
              <w:rPr>
                <w:sz w:val="21"/>
                <w:szCs w:val="21"/>
              </w:rPr>
            </w:pPr>
            <w:r>
              <w:rPr>
                <w:rStyle w:val="4"/>
                <w:rFonts w:hint="eastAsia"/>
                <w:sz w:val="21"/>
                <w:szCs w:val="21"/>
              </w:rPr>
              <w:t>【法规知识】《安全生产法》规定的安全生产管理方针是（ ）。  答案：A</w:t>
            </w:r>
          </w:p>
        </w:tc>
      </w:tr>
      <w:tr>
        <w:tblPrEx>
          <w:tblCellMar>
            <w:top w:w="0" w:type="dxa"/>
            <w:left w:w="0" w:type="dxa"/>
            <w:bottom w:w="0" w:type="dxa"/>
            <w:right w:w="0" w:type="dxa"/>
          </w:tblCellMar>
        </w:tblPrEx>
        <w:trPr>
          <w:tblCellSpacing w:w="0" w:type="dxa"/>
        </w:trPr>
        <w:tc>
          <w:tcPr>
            <w:tcW w:w="525" w:type="dxa"/>
            <w:noWrap w:val="0"/>
            <w:vAlign w:val="top"/>
          </w:tcPr>
          <w:p>
            <w:pPr>
              <w:spacing w:line="320" w:lineRule="exact"/>
              <w:jc w:val="both"/>
              <w:rPr>
                <w:sz w:val="21"/>
                <w:szCs w:val="21"/>
              </w:rPr>
            </w:pPr>
          </w:p>
        </w:tc>
        <w:tc>
          <w:tcPr>
            <w:tcW w:w="8546" w:type="dxa"/>
            <w:noWrap w:val="0"/>
            <w:vAlign w:val="top"/>
          </w:tcPr>
          <w:p>
            <w:pPr>
              <w:spacing w:line="320" w:lineRule="exact"/>
              <w:jc w:val="both"/>
              <w:rPr>
                <w:sz w:val="21"/>
                <w:szCs w:val="21"/>
              </w:rPr>
            </w:pPr>
            <w:r>
              <w:rPr>
                <w:rStyle w:val="4"/>
                <w:rFonts w:hint="eastAsia"/>
                <w:sz w:val="21"/>
                <w:szCs w:val="21"/>
              </w:rPr>
              <w:t xml:space="preserve">    A、安全第一、预防为主；  B、安全为了生产、生产必须安全； C、安全生产人人有责 </w:t>
            </w:r>
          </w:p>
        </w:tc>
      </w:tr>
      <w:tr>
        <w:tblPrEx>
          <w:tblCellMar>
            <w:top w:w="0" w:type="dxa"/>
            <w:left w:w="0" w:type="dxa"/>
            <w:bottom w:w="0" w:type="dxa"/>
            <w:right w:w="0" w:type="dxa"/>
          </w:tblCellMar>
        </w:tblPrEx>
        <w:trPr>
          <w:tblCellSpacing w:w="0" w:type="dxa"/>
        </w:trPr>
        <w:tc>
          <w:tcPr>
            <w:tcW w:w="525" w:type="dxa"/>
            <w:noWrap w:val="0"/>
            <w:vAlign w:val="top"/>
          </w:tcPr>
          <w:p>
            <w:pPr>
              <w:spacing w:line="320" w:lineRule="exact"/>
              <w:jc w:val="both"/>
              <w:rPr>
                <w:sz w:val="21"/>
                <w:szCs w:val="21"/>
              </w:rPr>
            </w:pPr>
            <w:r>
              <w:rPr>
                <w:rStyle w:val="4"/>
                <w:rFonts w:hint="eastAsia"/>
                <w:sz w:val="21"/>
                <w:szCs w:val="21"/>
              </w:rPr>
              <w:t>3、</w:t>
            </w:r>
          </w:p>
        </w:tc>
        <w:tc>
          <w:tcPr>
            <w:tcW w:w="8546" w:type="dxa"/>
            <w:noWrap w:val="0"/>
            <w:vAlign w:val="top"/>
          </w:tcPr>
          <w:p>
            <w:pPr>
              <w:spacing w:line="320" w:lineRule="exact"/>
              <w:jc w:val="both"/>
              <w:rPr>
                <w:sz w:val="21"/>
                <w:szCs w:val="21"/>
              </w:rPr>
            </w:pPr>
            <w:r>
              <w:rPr>
                <w:rStyle w:val="4"/>
                <w:rFonts w:hint="eastAsia"/>
                <w:sz w:val="21"/>
                <w:szCs w:val="21"/>
              </w:rPr>
              <w:t>【法规知识】《车用气瓶安全技术监察规程》中规定，车辆发生重大交通事故后，车用气瓶必须经过检验合格方可投入使用。  答案：A</w:t>
            </w:r>
          </w:p>
        </w:tc>
      </w:tr>
      <w:tr>
        <w:tblPrEx>
          <w:tblCellMar>
            <w:top w:w="0" w:type="dxa"/>
            <w:left w:w="0" w:type="dxa"/>
            <w:bottom w:w="0" w:type="dxa"/>
            <w:right w:w="0" w:type="dxa"/>
          </w:tblCellMar>
        </w:tblPrEx>
        <w:trPr>
          <w:tblCellSpacing w:w="0" w:type="dxa"/>
        </w:trPr>
        <w:tc>
          <w:tcPr>
            <w:tcW w:w="525" w:type="dxa"/>
            <w:noWrap w:val="0"/>
            <w:vAlign w:val="top"/>
          </w:tcPr>
          <w:p>
            <w:pPr>
              <w:spacing w:line="320" w:lineRule="exact"/>
              <w:jc w:val="both"/>
              <w:rPr>
                <w:sz w:val="21"/>
                <w:szCs w:val="21"/>
              </w:rPr>
            </w:pPr>
          </w:p>
        </w:tc>
        <w:tc>
          <w:tcPr>
            <w:tcW w:w="8546" w:type="dxa"/>
            <w:noWrap w:val="0"/>
            <w:vAlign w:val="top"/>
          </w:tcPr>
          <w:p>
            <w:pPr>
              <w:spacing w:line="320" w:lineRule="exact"/>
              <w:jc w:val="both"/>
              <w:rPr>
                <w:sz w:val="21"/>
                <w:szCs w:val="21"/>
              </w:rPr>
            </w:pPr>
            <w:r>
              <w:rPr>
                <w:rStyle w:val="4"/>
                <w:rFonts w:hint="eastAsia"/>
                <w:sz w:val="21"/>
                <w:szCs w:val="21"/>
              </w:rPr>
              <w:t xml:space="preserve">    A、正确；   B、错误 </w:t>
            </w:r>
          </w:p>
        </w:tc>
      </w:tr>
      <w:tr>
        <w:tblPrEx>
          <w:tblCellMar>
            <w:top w:w="0" w:type="dxa"/>
            <w:left w:w="0" w:type="dxa"/>
            <w:bottom w:w="0" w:type="dxa"/>
            <w:right w:w="0" w:type="dxa"/>
          </w:tblCellMar>
        </w:tblPrEx>
        <w:trPr>
          <w:tblCellSpacing w:w="0" w:type="dxa"/>
        </w:trPr>
        <w:tc>
          <w:tcPr>
            <w:tcW w:w="525" w:type="dxa"/>
            <w:noWrap w:val="0"/>
            <w:vAlign w:val="top"/>
          </w:tcPr>
          <w:p>
            <w:pPr>
              <w:spacing w:line="320" w:lineRule="exact"/>
              <w:jc w:val="both"/>
              <w:rPr>
                <w:sz w:val="21"/>
                <w:szCs w:val="21"/>
              </w:rPr>
            </w:pPr>
            <w:r>
              <w:rPr>
                <w:rStyle w:val="4"/>
                <w:rFonts w:hint="eastAsia"/>
                <w:sz w:val="21"/>
                <w:szCs w:val="21"/>
              </w:rPr>
              <w:t>4、</w:t>
            </w:r>
          </w:p>
        </w:tc>
        <w:tc>
          <w:tcPr>
            <w:tcW w:w="8546" w:type="dxa"/>
            <w:noWrap w:val="0"/>
            <w:vAlign w:val="top"/>
          </w:tcPr>
          <w:p>
            <w:pPr>
              <w:spacing w:line="320" w:lineRule="exact"/>
              <w:jc w:val="both"/>
              <w:rPr>
                <w:sz w:val="21"/>
                <w:szCs w:val="21"/>
              </w:rPr>
            </w:pPr>
            <w:r>
              <w:rPr>
                <w:rStyle w:val="4"/>
                <w:rFonts w:hint="eastAsia"/>
                <w:sz w:val="21"/>
                <w:szCs w:val="21"/>
              </w:rPr>
              <w:t>【法规知识】《车用气瓶安全技术监察规程》中规定，车用气瓶安装单位必须取得车用气瓶安装许可。  答案：A</w:t>
            </w:r>
          </w:p>
        </w:tc>
      </w:tr>
      <w:tr>
        <w:tblPrEx>
          <w:tblCellMar>
            <w:top w:w="0" w:type="dxa"/>
            <w:left w:w="0" w:type="dxa"/>
            <w:bottom w:w="0" w:type="dxa"/>
            <w:right w:w="0" w:type="dxa"/>
          </w:tblCellMar>
        </w:tblPrEx>
        <w:trPr>
          <w:tblCellSpacing w:w="0" w:type="dxa"/>
        </w:trPr>
        <w:tc>
          <w:tcPr>
            <w:tcW w:w="525" w:type="dxa"/>
            <w:noWrap w:val="0"/>
            <w:vAlign w:val="top"/>
          </w:tcPr>
          <w:p>
            <w:pPr>
              <w:spacing w:line="320" w:lineRule="exact"/>
              <w:jc w:val="both"/>
              <w:rPr>
                <w:sz w:val="21"/>
                <w:szCs w:val="21"/>
              </w:rPr>
            </w:pPr>
          </w:p>
        </w:tc>
        <w:tc>
          <w:tcPr>
            <w:tcW w:w="8546" w:type="dxa"/>
            <w:noWrap w:val="0"/>
            <w:vAlign w:val="top"/>
          </w:tcPr>
          <w:p>
            <w:pPr>
              <w:spacing w:line="320" w:lineRule="exact"/>
              <w:jc w:val="both"/>
              <w:rPr>
                <w:sz w:val="21"/>
                <w:szCs w:val="21"/>
              </w:rPr>
            </w:pPr>
            <w:r>
              <w:rPr>
                <w:rStyle w:val="4"/>
                <w:rFonts w:hint="eastAsia"/>
                <w:sz w:val="21"/>
                <w:szCs w:val="21"/>
              </w:rPr>
              <w:t xml:space="preserve">    A、正确；   B、错误 </w:t>
            </w:r>
          </w:p>
        </w:tc>
      </w:tr>
      <w:tr>
        <w:tblPrEx>
          <w:tblCellMar>
            <w:top w:w="0" w:type="dxa"/>
            <w:left w:w="0" w:type="dxa"/>
            <w:bottom w:w="0" w:type="dxa"/>
            <w:right w:w="0" w:type="dxa"/>
          </w:tblCellMar>
        </w:tblPrEx>
        <w:trPr>
          <w:tblCellSpacing w:w="0" w:type="dxa"/>
        </w:trPr>
        <w:tc>
          <w:tcPr>
            <w:tcW w:w="525" w:type="dxa"/>
            <w:noWrap w:val="0"/>
            <w:vAlign w:val="top"/>
          </w:tcPr>
          <w:p>
            <w:pPr>
              <w:spacing w:line="320" w:lineRule="exact"/>
              <w:jc w:val="both"/>
              <w:rPr>
                <w:sz w:val="21"/>
                <w:szCs w:val="21"/>
              </w:rPr>
            </w:pPr>
            <w:r>
              <w:rPr>
                <w:rStyle w:val="4"/>
                <w:rFonts w:hint="eastAsia"/>
                <w:sz w:val="21"/>
                <w:szCs w:val="21"/>
              </w:rPr>
              <w:t>5、</w:t>
            </w:r>
          </w:p>
        </w:tc>
        <w:tc>
          <w:tcPr>
            <w:tcW w:w="8546" w:type="dxa"/>
            <w:noWrap w:val="0"/>
            <w:vAlign w:val="top"/>
          </w:tcPr>
          <w:p>
            <w:pPr>
              <w:spacing w:line="320" w:lineRule="exact"/>
              <w:jc w:val="both"/>
              <w:rPr>
                <w:sz w:val="21"/>
                <w:szCs w:val="21"/>
              </w:rPr>
            </w:pPr>
            <w:r>
              <w:rPr>
                <w:rStyle w:val="4"/>
                <w:rFonts w:hint="eastAsia"/>
                <w:sz w:val="21"/>
                <w:szCs w:val="21"/>
              </w:rPr>
              <w:t>【法规知识】《车用气瓶安全技术监察规程》中规定，车用气瓶安装过程未经监督检验不予办理使用登记。  答案：A</w:t>
            </w:r>
          </w:p>
        </w:tc>
      </w:tr>
      <w:tr>
        <w:tblPrEx>
          <w:tblCellMar>
            <w:top w:w="0" w:type="dxa"/>
            <w:left w:w="0" w:type="dxa"/>
            <w:bottom w:w="0" w:type="dxa"/>
            <w:right w:w="0" w:type="dxa"/>
          </w:tblCellMar>
        </w:tblPrEx>
        <w:trPr>
          <w:tblCellSpacing w:w="0" w:type="dxa"/>
        </w:trPr>
        <w:tc>
          <w:tcPr>
            <w:tcW w:w="525" w:type="dxa"/>
            <w:noWrap w:val="0"/>
            <w:vAlign w:val="top"/>
          </w:tcPr>
          <w:p>
            <w:pPr>
              <w:spacing w:line="320" w:lineRule="exact"/>
              <w:jc w:val="both"/>
              <w:rPr>
                <w:sz w:val="21"/>
                <w:szCs w:val="21"/>
              </w:rPr>
            </w:pPr>
          </w:p>
        </w:tc>
        <w:tc>
          <w:tcPr>
            <w:tcW w:w="8546" w:type="dxa"/>
            <w:noWrap w:val="0"/>
            <w:vAlign w:val="top"/>
          </w:tcPr>
          <w:p>
            <w:pPr>
              <w:spacing w:line="320" w:lineRule="exact"/>
              <w:jc w:val="both"/>
              <w:rPr>
                <w:sz w:val="21"/>
                <w:szCs w:val="21"/>
              </w:rPr>
            </w:pPr>
            <w:r>
              <w:rPr>
                <w:rStyle w:val="4"/>
                <w:rFonts w:hint="eastAsia"/>
                <w:sz w:val="21"/>
                <w:szCs w:val="21"/>
              </w:rPr>
              <w:t xml:space="preserve">    A、正确；   B、错误 </w:t>
            </w:r>
          </w:p>
        </w:tc>
      </w:tr>
      <w:tr>
        <w:tblPrEx>
          <w:tblCellMar>
            <w:top w:w="0" w:type="dxa"/>
            <w:left w:w="0" w:type="dxa"/>
            <w:bottom w:w="0" w:type="dxa"/>
            <w:right w:w="0" w:type="dxa"/>
          </w:tblCellMar>
        </w:tblPrEx>
        <w:trPr>
          <w:tblCellSpacing w:w="0" w:type="dxa"/>
        </w:trPr>
        <w:tc>
          <w:tcPr>
            <w:tcW w:w="525" w:type="dxa"/>
            <w:noWrap w:val="0"/>
            <w:vAlign w:val="top"/>
          </w:tcPr>
          <w:p>
            <w:pPr>
              <w:spacing w:line="320" w:lineRule="exact"/>
              <w:jc w:val="both"/>
              <w:rPr>
                <w:sz w:val="21"/>
                <w:szCs w:val="21"/>
              </w:rPr>
            </w:pPr>
            <w:r>
              <w:rPr>
                <w:rStyle w:val="4"/>
                <w:rFonts w:hint="eastAsia"/>
                <w:sz w:val="21"/>
                <w:szCs w:val="21"/>
              </w:rPr>
              <w:t>6、</w:t>
            </w:r>
          </w:p>
        </w:tc>
        <w:tc>
          <w:tcPr>
            <w:tcW w:w="8546" w:type="dxa"/>
            <w:noWrap w:val="0"/>
            <w:vAlign w:val="top"/>
          </w:tcPr>
          <w:p>
            <w:pPr>
              <w:spacing w:line="320" w:lineRule="exact"/>
              <w:jc w:val="both"/>
              <w:rPr>
                <w:sz w:val="21"/>
                <w:szCs w:val="21"/>
              </w:rPr>
            </w:pPr>
            <w:r>
              <w:rPr>
                <w:rStyle w:val="4"/>
                <w:rFonts w:hint="eastAsia"/>
                <w:sz w:val="21"/>
                <w:szCs w:val="21"/>
              </w:rPr>
              <w:t>【法规知识】《车用气瓶安全技术监察规程》中规定，车用气瓶报废可以交给交付其他人处理，也可以交付气瓶检验机构处理。  答案：B</w:t>
            </w:r>
          </w:p>
        </w:tc>
      </w:tr>
      <w:tr>
        <w:tblPrEx>
          <w:tblCellMar>
            <w:top w:w="0" w:type="dxa"/>
            <w:left w:w="0" w:type="dxa"/>
            <w:bottom w:w="0" w:type="dxa"/>
            <w:right w:w="0" w:type="dxa"/>
          </w:tblCellMar>
        </w:tblPrEx>
        <w:trPr>
          <w:tblCellSpacing w:w="0" w:type="dxa"/>
        </w:trPr>
        <w:tc>
          <w:tcPr>
            <w:tcW w:w="525" w:type="dxa"/>
            <w:noWrap w:val="0"/>
            <w:vAlign w:val="top"/>
          </w:tcPr>
          <w:p>
            <w:pPr>
              <w:spacing w:line="320" w:lineRule="exact"/>
              <w:jc w:val="both"/>
              <w:rPr>
                <w:sz w:val="21"/>
                <w:szCs w:val="21"/>
              </w:rPr>
            </w:pPr>
          </w:p>
        </w:tc>
        <w:tc>
          <w:tcPr>
            <w:tcW w:w="8546" w:type="dxa"/>
            <w:noWrap w:val="0"/>
            <w:vAlign w:val="top"/>
          </w:tcPr>
          <w:p>
            <w:pPr>
              <w:spacing w:line="320" w:lineRule="exact"/>
              <w:jc w:val="both"/>
              <w:rPr>
                <w:sz w:val="21"/>
                <w:szCs w:val="21"/>
              </w:rPr>
            </w:pPr>
            <w:r>
              <w:rPr>
                <w:rStyle w:val="4"/>
                <w:rFonts w:hint="eastAsia"/>
                <w:sz w:val="21"/>
                <w:szCs w:val="21"/>
              </w:rPr>
              <w:t xml:space="preserve">    A、正确；   B、错误 </w:t>
            </w:r>
          </w:p>
        </w:tc>
      </w:tr>
      <w:tr>
        <w:tblPrEx>
          <w:tblCellMar>
            <w:top w:w="0" w:type="dxa"/>
            <w:left w:w="0" w:type="dxa"/>
            <w:bottom w:w="0" w:type="dxa"/>
            <w:right w:w="0" w:type="dxa"/>
          </w:tblCellMar>
        </w:tblPrEx>
        <w:trPr>
          <w:tblCellSpacing w:w="0" w:type="dxa"/>
        </w:trPr>
        <w:tc>
          <w:tcPr>
            <w:tcW w:w="525" w:type="dxa"/>
            <w:noWrap w:val="0"/>
            <w:vAlign w:val="top"/>
          </w:tcPr>
          <w:p>
            <w:pPr>
              <w:spacing w:line="320" w:lineRule="exact"/>
              <w:jc w:val="both"/>
              <w:rPr>
                <w:sz w:val="21"/>
                <w:szCs w:val="21"/>
              </w:rPr>
            </w:pPr>
            <w:r>
              <w:rPr>
                <w:rStyle w:val="4"/>
                <w:rFonts w:hint="eastAsia"/>
                <w:sz w:val="21"/>
                <w:szCs w:val="21"/>
              </w:rPr>
              <w:t>7、</w:t>
            </w:r>
          </w:p>
        </w:tc>
        <w:tc>
          <w:tcPr>
            <w:tcW w:w="8546" w:type="dxa"/>
            <w:noWrap w:val="0"/>
            <w:vAlign w:val="top"/>
          </w:tcPr>
          <w:p>
            <w:pPr>
              <w:spacing w:line="320" w:lineRule="exact"/>
              <w:jc w:val="both"/>
              <w:rPr>
                <w:sz w:val="21"/>
                <w:szCs w:val="21"/>
              </w:rPr>
            </w:pPr>
            <w:r>
              <w:rPr>
                <w:rStyle w:val="4"/>
                <w:rFonts w:hint="eastAsia"/>
                <w:sz w:val="21"/>
                <w:szCs w:val="21"/>
              </w:rPr>
              <w:t>【法规知识】《车用气瓶安全技术监察规程》中规定，车用气瓶充装单位可以对未经使用登记或者与使用登记证不一致的气瓶充装。  答案：B</w:t>
            </w:r>
          </w:p>
        </w:tc>
      </w:tr>
      <w:tr>
        <w:tblPrEx>
          <w:tblCellMar>
            <w:top w:w="0" w:type="dxa"/>
            <w:left w:w="0" w:type="dxa"/>
            <w:bottom w:w="0" w:type="dxa"/>
            <w:right w:w="0" w:type="dxa"/>
          </w:tblCellMar>
        </w:tblPrEx>
        <w:trPr>
          <w:tblCellSpacing w:w="0" w:type="dxa"/>
        </w:trPr>
        <w:tc>
          <w:tcPr>
            <w:tcW w:w="525" w:type="dxa"/>
            <w:noWrap w:val="0"/>
            <w:vAlign w:val="top"/>
          </w:tcPr>
          <w:p>
            <w:pPr>
              <w:spacing w:line="320" w:lineRule="exact"/>
              <w:jc w:val="both"/>
              <w:rPr>
                <w:sz w:val="21"/>
                <w:szCs w:val="21"/>
              </w:rPr>
            </w:pPr>
          </w:p>
        </w:tc>
        <w:tc>
          <w:tcPr>
            <w:tcW w:w="8546" w:type="dxa"/>
            <w:noWrap w:val="0"/>
            <w:vAlign w:val="top"/>
          </w:tcPr>
          <w:p>
            <w:pPr>
              <w:spacing w:line="320" w:lineRule="exact"/>
              <w:jc w:val="both"/>
              <w:rPr>
                <w:sz w:val="21"/>
                <w:szCs w:val="21"/>
              </w:rPr>
            </w:pPr>
            <w:r>
              <w:rPr>
                <w:rStyle w:val="4"/>
                <w:rFonts w:hint="eastAsia"/>
                <w:sz w:val="21"/>
                <w:szCs w:val="21"/>
              </w:rPr>
              <w:t xml:space="preserve">    A、正确；   B、错误 </w:t>
            </w:r>
          </w:p>
        </w:tc>
      </w:tr>
      <w:tr>
        <w:tblPrEx>
          <w:tblCellMar>
            <w:top w:w="0" w:type="dxa"/>
            <w:left w:w="0" w:type="dxa"/>
            <w:bottom w:w="0" w:type="dxa"/>
            <w:right w:w="0" w:type="dxa"/>
          </w:tblCellMar>
        </w:tblPrEx>
        <w:trPr>
          <w:tblCellSpacing w:w="0" w:type="dxa"/>
        </w:trPr>
        <w:tc>
          <w:tcPr>
            <w:tcW w:w="525" w:type="dxa"/>
            <w:noWrap w:val="0"/>
            <w:vAlign w:val="top"/>
          </w:tcPr>
          <w:p>
            <w:pPr>
              <w:spacing w:line="320" w:lineRule="exact"/>
              <w:jc w:val="both"/>
              <w:rPr>
                <w:sz w:val="21"/>
                <w:szCs w:val="21"/>
              </w:rPr>
            </w:pPr>
            <w:r>
              <w:rPr>
                <w:rStyle w:val="4"/>
                <w:rFonts w:hint="eastAsia"/>
                <w:sz w:val="21"/>
                <w:szCs w:val="21"/>
              </w:rPr>
              <w:t>8、</w:t>
            </w:r>
          </w:p>
        </w:tc>
        <w:tc>
          <w:tcPr>
            <w:tcW w:w="8546" w:type="dxa"/>
            <w:noWrap w:val="0"/>
            <w:vAlign w:val="top"/>
          </w:tcPr>
          <w:p>
            <w:pPr>
              <w:spacing w:line="320" w:lineRule="exact"/>
              <w:jc w:val="both"/>
              <w:rPr>
                <w:sz w:val="21"/>
                <w:szCs w:val="21"/>
              </w:rPr>
            </w:pPr>
            <w:r>
              <w:rPr>
                <w:rStyle w:val="4"/>
                <w:rFonts w:hint="eastAsia"/>
                <w:sz w:val="21"/>
                <w:szCs w:val="21"/>
              </w:rPr>
              <w:t>【法规知识】《车用气瓶安全技术监察规程》中规定，充装记录的保存时间不少于（）个月。  答案：A</w:t>
            </w:r>
          </w:p>
        </w:tc>
      </w:tr>
      <w:tr>
        <w:tblPrEx>
          <w:tblCellMar>
            <w:top w:w="0" w:type="dxa"/>
            <w:left w:w="0" w:type="dxa"/>
            <w:bottom w:w="0" w:type="dxa"/>
            <w:right w:w="0" w:type="dxa"/>
          </w:tblCellMar>
        </w:tblPrEx>
        <w:trPr>
          <w:tblCellSpacing w:w="0" w:type="dxa"/>
        </w:trPr>
        <w:tc>
          <w:tcPr>
            <w:tcW w:w="525" w:type="dxa"/>
            <w:noWrap w:val="0"/>
            <w:vAlign w:val="top"/>
          </w:tcPr>
          <w:p>
            <w:pPr>
              <w:spacing w:line="320" w:lineRule="exact"/>
              <w:jc w:val="both"/>
              <w:rPr>
                <w:sz w:val="21"/>
                <w:szCs w:val="21"/>
              </w:rPr>
            </w:pPr>
          </w:p>
        </w:tc>
        <w:tc>
          <w:tcPr>
            <w:tcW w:w="8546" w:type="dxa"/>
            <w:noWrap w:val="0"/>
            <w:vAlign w:val="top"/>
          </w:tcPr>
          <w:p>
            <w:pPr>
              <w:spacing w:line="320" w:lineRule="exact"/>
              <w:jc w:val="both"/>
              <w:rPr>
                <w:sz w:val="21"/>
                <w:szCs w:val="21"/>
              </w:rPr>
            </w:pPr>
            <w:r>
              <w:rPr>
                <w:rStyle w:val="4"/>
                <w:rFonts w:hint="eastAsia"/>
                <w:sz w:val="21"/>
                <w:szCs w:val="21"/>
              </w:rPr>
              <w:t xml:space="preserve">    A、1；   B、6；   C、12；   D、3 </w:t>
            </w:r>
          </w:p>
        </w:tc>
      </w:tr>
      <w:tr>
        <w:tblPrEx>
          <w:tblCellMar>
            <w:top w:w="0" w:type="dxa"/>
            <w:left w:w="0" w:type="dxa"/>
            <w:bottom w:w="0" w:type="dxa"/>
            <w:right w:w="0" w:type="dxa"/>
          </w:tblCellMar>
        </w:tblPrEx>
        <w:trPr>
          <w:tblCellSpacing w:w="0" w:type="dxa"/>
        </w:trPr>
        <w:tc>
          <w:tcPr>
            <w:tcW w:w="525" w:type="dxa"/>
            <w:noWrap w:val="0"/>
            <w:vAlign w:val="top"/>
          </w:tcPr>
          <w:p>
            <w:pPr>
              <w:spacing w:line="320" w:lineRule="exact"/>
              <w:jc w:val="both"/>
              <w:rPr>
                <w:sz w:val="21"/>
                <w:szCs w:val="21"/>
              </w:rPr>
            </w:pPr>
            <w:r>
              <w:rPr>
                <w:rStyle w:val="4"/>
                <w:rFonts w:hint="eastAsia"/>
                <w:sz w:val="21"/>
                <w:szCs w:val="21"/>
              </w:rPr>
              <w:t>9、</w:t>
            </w:r>
          </w:p>
        </w:tc>
        <w:tc>
          <w:tcPr>
            <w:tcW w:w="8546" w:type="dxa"/>
            <w:noWrap w:val="0"/>
            <w:vAlign w:val="top"/>
          </w:tcPr>
          <w:p>
            <w:pPr>
              <w:spacing w:line="320" w:lineRule="exact"/>
              <w:jc w:val="both"/>
              <w:rPr>
                <w:sz w:val="21"/>
                <w:szCs w:val="21"/>
              </w:rPr>
            </w:pPr>
            <w:r>
              <w:rPr>
                <w:rStyle w:val="4"/>
                <w:rFonts w:hint="eastAsia"/>
                <w:sz w:val="21"/>
                <w:szCs w:val="21"/>
              </w:rPr>
              <w:t>【法规知识】《车用气瓶安全技术监察规程》中规定，燃气汽车司乘人员尚未离开车辆时不得进行充装。  答案：A</w:t>
            </w:r>
          </w:p>
        </w:tc>
      </w:tr>
      <w:tr>
        <w:tblPrEx>
          <w:tblCellMar>
            <w:top w:w="0" w:type="dxa"/>
            <w:left w:w="0" w:type="dxa"/>
            <w:bottom w:w="0" w:type="dxa"/>
            <w:right w:w="0" w:type="dxa"/>
          </w:tblCellMar>
        </w:tblPrEx>
        <w:trPr>
          <w:tblCellSpacing w:w="0" w:type="dxa"/>
        </w:trPr>
        <w:tc>
          <w:tcPr>
            <w:tcW w:w="525" w:type="dxa"/>
            <w:noWrap w:val="0"/>
            <w:vAlign w:val="top"/>
          </w:tcPr>
          <w:p>
            <w:pPr>
              <w:spacing w:line="320" w:lineRule="exact"/>
              <w:jc w:val="both"/>
              <w:rPr>
                <w:sz w:val="21"/>
                <w:szCs w:val="21"/>
              </w:rPr>
            </w:pPr>
          </w:p>
        </w:tc>
        <w:tc>
          <w:tcPr>
            <w:tcW w:w="8546" w:type="dxa"/>
            <w:noWrap w:val="0"/>
            <w:vAlign w:val="top"/>
          </w:tcPr>
          <w:p>
            <w:pPr>
              <w:spacing w:line="320" w:lineRule="exact"/>
              <w:jc w:val="both"/>
              <w:rPr>
                <w:sz w:val="21"/>
                <w:szCs w:val="21"/>
              </w:rPr>
            </w:pPr>
            <w:r>
              <w:rPr>
                <w:rStyle w:val="4"/>
                <w:rFonts w:hint="eastAsia"/>
                <w:sz w:val="21"/>
                <w:szCs w:val="21"/>
              </w:rPr>
              <w:t xml:space="preserve">    A、正确；   B、错误 </w:t>
            </w:r>
          </w:p>
        </w:tc>
      </w:tr>
      <w:tr>
        <w:tblPrEx>
          <w:tblCellMar>
            <w:top w:w="0" w:type="dxa"/>
            <w:left w:w="0" w:type="dxa"/>
            <w:bottom w:w="0" w:type="dxa"/>
            <w:right w:w="0" w:type="dxa"/>
          </w:tblCellMar>
        </w:tblPrEx>
        <w:trPr>
          <w:tblCellSpacing w:w="0" w:type="dxa"/>
        </w:trPr>
        <w:tc>
          <w:tcPr>
            <w:tcW w:w="525" w:type="dxa"/>
            <w:noWrap w:val="0"/>
            <w:vAlign w:val="top"/>
          </w:tcPr>
          <w:p>
            <w:pPr>
              <w:spacing w:line="320" w:lineRule="exact"/>
              <w:jc w:val="both"/>
              <w:rPr>
                <w:sz w:val="21"/>
                <w:szCs w:val="21"/>
              </w:rPr>
            </w:pPr>
            <w:r>
              <w:rPr>
                <w:rStyle w:val="4"/>
                <w:rFonts w:hint="eastAsia"/>
                <w:sz w:val="21"/>
                <w:szCs w:val="21"/>
              </w:rPr>
              <w:t>10、</w:t>
            </w:r>
          </w:p>
        </w:tc>
        <w:tc>
          <w:tcPr>
            <w:tcW w:w="8546" w:type="dxa"/>
            <w:noWrap w:val="0"/>
            <w:vAlign w:val="top"/>
          </w:tcPr>
          <w:p>
            <w:pPr>
              <w:spacing w:line="320" w:lineRule="exact"/>
              <w:jc w:val="both"/>
              <w:rPr>
                <w:sz w:val="21"/>
                <w:szCs w:val="21"/>
              </w:rPr>
            </w:pPr>
            <w:r>
              <w:rPr>
                <w:rStyle w:val="4"/>
                <w:rFonts w:hint="eastAsia"/>
                <w:sz w:val="21"/>
                <w:szCs w:val="21"/>
              </w:rPr>
              <w:t>【法规知识】《车用气瓶安全技术监察规程》中规定，使用单位不得对车用气瓶瓶体进行焊接和更改车用气瓶的钢印或者颜色标志。  答案：A</w:t>
            </w:r>
          </w:p>
        </w:tc>
      </w:tr>
      <w:tr>
        <w:tblPrEx>
          <w:tblCellMar>
            <w:top w:w="0" w:type="dxa"/>
            <w:left w:w="0" w:type="dxa"/>
            <w:bottom w:w="0" w:type="dxa"/>
            <w:right w:w="0" w:type="dxa"/>
          </w:tblCellMar>
        </w:tblPrEx>
        <w:trPr>
          <w:tblCellSpacing w:w="0" w:type="dxa"/>
        </w:trPr>
        <w:tc>
          <w:tcPr>
            <w:tcW w:w="525" w:type="dxa"/>
            <w:noWrap w:val="0"/>
            <w:vAlign w:val="top"/>
          </w:tcPr>
          <w:p>
            <w:pPr>
              <w:spacing w:line="320" w:lineRule="exact"/>
              <w:jc w:val="both"/>
              <w:rPr>
                <w:sz w:val="21"/>
                <w:szCs w:val="21"/>
              </w:rPr>
            </w:pPr>
          </w:p>
        </w:tc>
        <w:tc>
          <w:tcPr>
            <w:tcW w:w="8546" w:type="dxa"/>
            <w:noWrap w:val="0"/>
            <w:vAlign w:val="top"/>
          </w:tcPr>
          <w:p>
            <w:pPr>
              <w:spacing w:line="320" w:lineRule="exact"/>
              <w:jc w:val="both"/>
              <w:rPr>
                <w:sz w:val="21"/>
                <w:szCs w:val="21"/>
              </w:rPr>
            </w:pPr>
            <w:r>
              <w:rPr>
                <w:rStyle w:val="4"/>
                <w:rFonts w:hint="eastAsia"/>
                <w:sz w:val="21"/>
                <w:szCs w:val="21"/>
              </w:rPr>
              <w:t xml:space="preserve">    A、正确；   B、错误 </w:t>
            </w:r>
          </w:p>
        </w:tc>
      </w:tr>
      <w:tr>
        <w:tblPrEx>
          <w:tblCellMar>
            <w:top w:w="0" w:type="dxa"/>
            <w:left w:w="0" w:type="dxa"/>
            <w:bottom w:w="0" w:type="dxa"/>
            <w:right w:w="0" w:type="dxa"/>
          </w:tblCellMar>
        </w:tblPrEx>
        <w:trPr>
          <w:tblCellSpacing w:w="0" w:type="dxa"/>
        </w:trPr>
        <w:tc>
          <w:tcPr>
            <w:tcW w:w="525" w:type="dxa"/>
            <w:noWrap w:val="0"/>
            <w:vAlign w:val="top"/>
          </w:tcPr>
          <w:p>
            <w:pPr>
              <w:spacing w:line="320" w:lineRule="exact"/>
              <w:jc w:val="both"/>
              <w:rPr>
                <w:sz w:val="21"/>
                <w:szCs w:val="21"/>
              </w:rPr>
            </w:pPr>
            <w:r>
              <w:rPr>
                <w:rStyle w:val="4"/>
                <w:rFonts w:hint="eastAsia"/>
                <w:sz w:val="21"/>
                <w:szCs w:val="21"/>
              </w:rPr>
              <w:t>97、</w:t>
            </w:r>
          </w:p>
        </w:tc>
        <w:tc>
          <w:tcPr>
            <w:tcW w:w="8546" w:type="dxa"/>
            <w:noWrap w:val="0"/>
            <w:vAlign w:val="top"/>
          </w:tcPr>
          <w:p>
            <w:pPr>
              <w:spacing w:line="320" w:lineRule="exact"/>
              <w:jc w:val="both"/>
              <w:rPr>
                <w:sz w:val="21"/>
                <w:szCs w:val="21"/>
              </w:rPr>
            </w:pPr>
            <w:r>
              <w:rPr>
                <w:rStyle w:val="4"/>
                <w:rFonts w:hint="eastAsia"/>
                <w:sz w:val="21"/>
                <w:szCs w:val="21"/>
              </w:rPr>
              <w:t>【基础知识】( )这些基本条件相互作用，燃烧才能发生。  答案：C</w:t>
            </w:r>
          </w:p>
        </w:tc>
      </w:tr>
      <w:tr>
        <w:tblPrEx>
          <w:tblCellMar>
            <w:top w:w="0" w:type="dxa"/>
            <w:left w:w="0" w:type="dxa"/>
            <w:bottom w:w="0" w:type="dxa"/>
            <w:right w:w="0" w:type="dxa"/>
          </w:tblCellMar>
        </w:tblPrEx>
        <w:trPr>
          <w:tblCellSpacing w:w="0" w:type="dxa"/>
        </w:trPr>
        <w:tc>
          <w:tcPr>
            <w:tcW w:w="525" w:type="dxa"/>
            <w:noWrap w:val="0"/>
            <w:vAlign w:val="top"/>
          </w:tcPr>
          <w:p>
            <w:pPr>
              <w:spacing w:line="320" w:lineRule="exact"/>
              <w:jc w:val="both"/>
              <w:rPr>
                <w:sz w:val="21"/>
                <w:szCs w:val="21"/>
              </w:rPr>
            </w:pPr>
          </w:p>
        </w:tc>
        <w:tc>
          <w:tcPr>
            <w:tcW w:w="8546" w:type="dxa"/>
            <w:noWrap w:val="0"/>
            <w:vAlign w:val="top"/>
          </w:tcPr>
          <w:p>
            <w:pPr>
              <w:spacing w:line="320" w:lineRule="exact"/>
              <w:ind w:firstLine="432"/>
              <w:jc w:val="both"/>
              <w:rPr>
                <w:rStyle w:val="4"/>
                <w:sz w:val="21"/>
                <w:szCs w:val="21"/>
              </w:rPr>
            </w:pPr>
            <w:r>
              <w:rPr>
                <w:rStyle w:val="4"/>
                <w:rFonts w:hint="eastAsia"/>
                <w:sz w:val="21"/>
                <w:szCs w:val="21"/>
              </w:rPr>
              <w:t xml:space="preserve">A、 氧化反应、助燃物、火源；   B、可燃物质、助燃物质、氧化反应；   </w:t>
            </w:r>
          </w:p>
          <w:p>
            <w:pPr>
              <w:spacing w:line="320" w:lineRule="exact"/>
              <w:ind w:firstLine="432"/>
              <w:jc w:val="both"/>
            </w:pPr>
            <w:r>
              <w:rPr>
                <w:rStyle w:val="4"/>
                <w:rFonts w:hint="eastAsia"/>
                <w:sz w:val="21"/>
                <w:szCs w:val="21"/>
              </w:rPr>
              <w:t xml:space="preserve">C、可燃物质、助燃物、火源；   D、可燃物质、氧化反应、火源 </w:t>
            </w:r>
          </w:p>
        </w:tc>
      </w:tr>
      <w:tr>
        <w:tblPrEx>
          <w:tblCellMar>
            <w:top w:w="0" w:type="dxa"/>
            <w:left w:w="0" w:type="dxa"/>
            <w:bottom w:w="0" w:type="dxa"/>
            <w:right w:w="0" w:type="dxa"/>
          </w:tblCellMar>
        </w:tblPrEx>
        <w:trPr>
          <w:tblCellSpacing w:w="0" w:type="dxa"/>
        </w:trPr>
        <w:tc>
          <w:tcPr>
            <w:tcW w:w="525" w:type="dxa"/>
            <w:noWrap w:val="0"/>
            <w:vAlign w:val="top"/>
          </w:tcPr>
          <w:p>
            <w:pPr>
              <w:spacing w:line="320" w:lineRule="exact"/>
              <w:jc w:val="both"/>
              <w:rPr>
                <w:sz w:val="21"/>
                <w:szCs w:val="21"/>
              </w:rPr>
            </w:pPr>
            <w:r>
              <w:rPr>
                <w:rStyle w:val="4"/>
                <w:rFonts w:hint="eastAsia"/>
                <w:sz w:val="21"/>
                <w:szCs w:val="21"/>
              </w:rPr>
              <w:t>98、</w:t>
            </w:r>
          </w:p>
        </w:tc>
        <w:tc>
          <w:tcPr>
            <w:tcW w:w="8546" w:type="dxa"/>
            <w:noWrap w:val="0"/>
            <w:vAlign w:val="top"/>
          </w:tcPr>
          <w:p>
            <w:pPr>
              <w:spacing w:line="320" w:lineRule="exact"/>
              <w:jc w:val="both"/>
              <w:rPr>
                <w:sz w:val="21"/>
                <w:szCs w:val="21"/>
              </w:rPr>
            </w:pPr>
            <w:r>
              <w:rPr>
                <w:rStyle w:val="4"/>
                <w:rFonts w:hint="eastAsia"/>
                <w:sz w:val="21"/>
                <w:szCs w:val="21"/>
              </w:rPr>
              <w:t>【基础知识】1 Pa=1（ ）  答案：A</w:t>
            </w:r>
          </w:p>
        </w:tc>
      </w:tr>
      <w:tr>
        <w:tblPrEx>
          <w:tblCellMar>
            <w:top w:w="0" w:type="dxa"/>
            <w:left w:w="0" w:type="dxa"/>
            <w:bottom w:w="0" w:type="dxa"/>
            <w:right w:w="0" w:type="dxa"/>
          </w:tblCellMar>
        </w:tblPrEx>
        <w:trPr>
          <w:tblCellSpacing w:w="0" w:type="dxa"/>
        </w:trPr>
        <w:tc>
          <w:tcPr>
            <w:tcW w:w="525" w:type="dxa"/>
            <w:noWrap w:val="0"/>
            <w:vAlign w:val="top"/>
          </w:tcPr>
          <w:p>
            <w:pPr>
              <w:spacing w:line="320" w:lineRule="exact"/>
              <w:jc w:val="both"/>
              <w:rPr>
                <w:sz w:val="21"/>
                <w:szCs w:val="21"/>
              </w:rPr>
            </w:pPr>
          </w:p>
        </w:tc>
        <w:tc>
          <w:tcPr>
            <w:tcW w:w="8546" w:type="dxa"/>
            <w:noWrap w:val="0"/>
            <w:vAlign w:val="top"/>
          </w:tcPr>
          <w:p>
            <w:pPr>
              <w:spacing w:line="320" w:lineRule="exact"/>
              <w:jc w:val="both"/>
              <w:rPr>
                <w:sz w:val="21"/>
                <w:szCs w:val="21"/>
              </w:rPr>
            </w:pPr>
            <w:r>
              <w:rPr>
                <w:rStyle w:val="4"/>
                <w:rFonts w:hint="eastAsia"/>
                <w:sz w:val="21"/>
                <w:szCs w:val="21"/>
              </w:rPr>
              <w:t xml:space="preserve">    A、牛顿/平方米 ；   B、牛顿/平方厘米；   C、千克（力）/平方厘米 </w:t>
            </w:r>
          </w:p>
        </w:tc>
      </w:tr>
      <w:tr>
        <w:tblPrEx>
          <w:tblCellMar>
            <w:top w:w="0" w:type="dxa"/>
            <w:left w:w="0" w:type="dxa"/>
            <w:bottom w:w="0" w:type="dxa"/>
            <w:right w:w="0" w:type="dxa"/>
          </w:tblCellMar>
        </w:tblPrEx>
        <w:trPr>
          <w:tblCellSpacing w:w="0" w:type="dxa"/>
        </w:trPr>
        <w:tc>
          <w:tcPr>
            <w:tcW w:w="525" w:type="dxa"/>
            <w:noWrap w:val="0"/>
            <w:vAlign w:val="top"/>
          </w:tcPr>
          <w:p>
            <w:pPr>
              <w:spacing w:line="320" w:lineRule="exact"/>
              <w:jc w:val="both"/>
              <w:rPr>
                <w:sz w:val="21"/>
                <w:szCs w:val="21"/>
              </w:rPr>
            </w:pPr>
            <w:r>
              <w:rPr>
                <w:rStyle w:val="4"/>
                <w:rFonts w:hint="eastAsia"/>
                <w:sz w:val="21"/>
                <w:szCs w:val="21"/>
              </w:rPr>
              <w:t>99、</w:t>
            </w:r>
          </w:p>
        </w:tc>
        <w:tc>
          <w:tcPr>
            <w:tcW w:w="8546" w:type="dxa"/>
            <w:noWrap w:val="0"/>
            <w:vAlign w:val="top"/>
          </w:tcPr>
          <w:p>
            <w:pPr>
              <w:spacing w:line="320" w:lineRule="exact"/>
              <w:jc w:val="both"/>
              <w:rPr>
                <w:sz w:val="21"/>
                <w:szCs w:val="21"/>
              </w:rPr>
            </w:pPr>
            <w:r>
              <w:rPr>
                <w:rStyle w:val="4"/>
                <w:rFonts w:hint="eastAsia"/>
                <w:sz w:val="21"/>
                <w:szCs w:val="21"/>
              </w:rPr>
              <w:t>【基础知识】安全标志有禁止标志，警告标志，指令标志，提示标志。（）  答案：A</w:t>
            </w:r>
          </w:p>
        </w:tc>
      </w:tr>
      <w:tr>
        <w:tblPrEx>
          <w:tblCellMar>
            <w:top w:w="0" w:type="dxa"/>
            <w:left w:w="0" w:type="dxa"/>
            <w:bottom w:w="0" w:type="dxa"/>
            <w:right w:w="0" w:type="dxa"/>
          </w:tblCellMar>
        </w:tblPrEx>
        <w:trPr>
          <w:tblCellSpacing w:w="0" w:type="dxa"/>
        </w:trPr>
        <w:tc>
          <w:tcPr>
            <w:tcW w:w="525" w:type="dxa"/>
            <w:noWrap w:val="0"/>
            <w:vAlign w:val="top"/>
          </w:tcPr>
          <w:p>
            <w:pPr>
              <w:spacing w:line="320" w:lineRule="exact"/>
              <w:jc w:val="both"/>
              <w:rPr>
                <w:sz w:val="21"/>
                <w:szCs w:val="21"/>
              </w:rPr>
            </w:pPr>
          </w:p>
        </w:tc>
        <w:tc>
          <w:tcPr>
            <w:tcW w:w="8546" w:type="dxa"/>
            <w:noWrap w:val="0"/>
            <w:vAlign w:val="top"/>
          </w:tcPr>
          <w:p>
            <w:pPr>
              <w:spacing w:line="320" w:lineRule="exact"/>
              <w:jc w:val="both"/>
              <w:rPr>
                <w:sz w:val="21"/>
                <w:szCs w:val="21"/>
              </w:rPr>
            </w:pPr>
            <w:r>
              <w:rPr>
                <w:rStyle w:val="4"/>
                <w:rFonts w:hint="eastAsia"/>
                <w:sz w:val="21"/>
                <w:szCs w:val="21"/>
              </w:rPr>
              <w:t xml:space="preserve">    A、正确；   B、错误； </w:t>
            </w:r>
          </w:p>
        </w:tc>
      </w:tr>
      <w:tr>
        <w:tblPrEx>
          <w:tblCellMar>
            <w:top w:w="0" w:type="dxa"/>
            <w:left w:w="0" w:type="dxa"/>
            <w:bottom w:w="0" w:type="dxa"/>
            <w:right w:w="0" w:type="dxa"/>
          </w:tblCellMar>
        </w:tblPrEx>
        <w:trPr>
          <w:tblCellSpacing w:w="0" w:type="dxa"/>
        </w:trPr>
        <w:tc>
          <w:tcPr>
            <w:tcW w:w="525" w:type="dxa"/>
            <w:noWrap w:val="0"/>
            <w:vAlign w:val="top"/>
          </w:tcPr>
          <w:p>
            <w:pPr>
              <w:spacing w:line="320" w:lineRule="exact"/>
              <w:jc w:val="both"/>
              <w:rPr>
                <w:sz w:val="21"/>
                <w:szCs w:val="21"/>
              </w:rPr>
            </w:pPr>
            <w:r>
              <w:rPr>
                <w:rStyle w:val="4"/>
                <w:rFonts w:hint="eastAsia"/>
                <w:sz w:val="21"/>
                <w:szCs w:val="21"/>
              </w:rPr>
              <w:t>100、</w:t>
            </w:r>
          </w:p>
        </w:tc>
        <w:tc>
          <w:tcPr>
            <w:tcW w:w="8546" w:type="dxa"/>
            <w:noWrap w:val="0"/>
            <w:vAlign w:val="top"/>
          </w:tcPr>
          <w:p>
            <w:pPr>
              <w:spacing w:line="320" w:lineRule="exact"/>
              <w:jc w:val="both"/>
              <w:rPr>
                <w:sz w:val="21"/>
                <w:szCs w:val="21"/>
              </w:rPr>
            </w:pPr>
            <w:r>
              <w:rPr>
                <w:rStyle w:val="4"/>
                <w:rFonts w:hint="eastAsia"/>
                <w:sz w:val="21"/>
                <w:szCs w:val="21"/>
              </w:rPr>
              <w:t>【基础知识】按照《职业病接触毒物危害程度分级》规定，毒性可分为（）级。  答案：B</w:t>
            </w:r>
          </w:p>
        </w:tc>
      </w:tr>
      <w:tr>
        <w:tblPrEx>
          <w:tblCellMar>
            <w:top w:w="0" w:type="dxa"/>
            <w:left w:w="0" w:type="dxa"/>
            <w:bottom w:w="0" w:type="dxa"/>
            <w:right w:w="0" w:type="dxa"/>
          </w:tblCellMar>
        </w:tblPrEx>
        <w:trPr>
          <w:tblCellSpacing w:w="0" w:type="dxa"/>
        </w:trPr>
        <w:tc>
          <w:tcPr>
            <w:tcW w:w="525" w:type="dxa"/>
            <w:noWrap w:val="0"/>
            <w:vAlign w:val="top"/>
          </w:tcPr>
          <w:p>
            <w:pPr>
              <w:spacing w:line="320" w:lineRule="exact"/>
              <w:jc w:val="both"/>
              <w:rPr>
                <w:sz w:val="21"/>
                <w:szCs w:val="21"/>
              </w:rPr>
            </w:pPr>
          </w:p>
        </w:tc>
        <w:tc>
          <w:tcPr>
            <w:tcW w:w="8546" w:type="dxa"/>
            <w:noWrap w:val="0"/>
            <w:vAlign w:val="top"/>
          </w:tcPr>
          <w:p>
            <w:pPr>
              <w:spacing w:line="320" w:lineRule="exact"/>
              <w:jc w:val="both"/>
              <w:rPr>
                <w:sz w:val="21"/>
                <w:szCs w:val="21"/>
              </w:rPr>
            </w:pPr>
            <w:r>
              <w:rPr>
                <w:rStyle w:val="4"/>
                <w:rFonts w:hint="eastAsia"/>
                <w:sz w:val="21"/>
                <w:szCs w:val="21"/>
              </w:rPr>
              <w:t xml:space="preserve">    A、 五；   B、四；   C、三；   D、二 </w:t>
            </w:r>
          </w:p>
        </w:tc>
      </w:tr>
      <w:tr>
        <w:tblPrEx>
          <w:tblCellMar>
            <w:top w:w="0" w:type="dxa"/>
            <w:left w:w="0" w:type="dxa"/>
            <w:bottom w:w="0" w:type="dxa"/>
            <w:right w:w="0" w:type="dxa"/>
          </w:tblCellMar>
        </w:tblPrEx>
        <w:trPr>
          <w:tblCellSpacing w:w="0" w:type="dxa"/>
        </w:trPr>
        <w:tc>
          <w:tcPr>
            <w:tcW w:w="525" w:type="dxa"/>
            <w:noWrap w:val="0"/>
            <w:vAlign w:val="top"/>
          </w:tcPr>
          <w:p>
            <w:pPr>
              <w:spacing w:line="320" w:lineRule="exact"/>
              <w:jc w:val="both"/>
              <w:rPr>
                <w:sz w:val="21"/>
                <w:szCs w:val="21"/>
              </w:rPr>
            </w:pPr>
            <w:r>
              <w:rPr>
                <w:rStyle w:val="4"/>
                <w:rFonts w:hint="eastAsia"/>
                <w:sz w:val="21"/>
                <w:szCs w:val="21"/>
              </w:rPr>
              <w:t>101、</w:t>
            </w:r>
          </w:p>
        </w:tc>
        <w:tc>
          <w:tcPr>
            <w:tcW w:w="8546" w:type="dxa"/>
            <w:noWrap w:val="0"/>
            <w:vAlign w:val="top"/>
          </w:tcPr>
          <w:p>
            <w:pPr>
              <w:spacing w:line="320" w:lineRule="exact"/>
              <w:jc w:val="both"/>
              <w:rPr>
                <w:sz w:val="21"/>
                <w:szCs w:val="21"/>
              </w:rPr>
            </w:pPr>
            <w:r>
              <w:rPr>
                <w:rStyle w:val="4"/>
                <w:rFonts w:hint="eastAsia"/>
                <w:sz w:val="21"/>
                <w:szCs w:val="21"/>
              </w:rPr>
              <w:t>【基础知识】爆炸可分物理性爆炸和化学性爆炸。气体的危险特性主要是指（ ）。答案：A</w:t>
            </w:r>
          </w:p>
        </w:tc>
      </w:tr>
      <w:tr>
        <w:tblPrEx>
          <w:tblCellMar>
            <w:top w:w="0" w:type="dxa"/>
            <w:left w:w="0" w:type="dxa"/>
            <w:bottom w:w="0" w:type="dxa"/>
            <w:right w:w="0" w:type="dxa"/>
          </w:tblCellMar>
        </w:tblPrEx>
        <w:trPr>
          <w:tblCellSpacing w:w="0" w:type="dxa"/>
        </w:trPr>
        <w:tc>
          <w:tcPr>
            <w:tcW w:w="525" w:type="dxa"/>
            <w:noWrap w:val="0"/>
            <w:vAlign w:val="top"/>
          </w:tcPr>
          <w:p>
            <w:pPr>
              <w:spacing w:line="320" w:lineRule="exact"/>
              <w:jc w:val="both"/>
              <w:rPr>
                <w:sz w:val="21"/>
                <w:szCs w:val="21"/>
              </w:rPr>
            </w:pPr>
          </w:p>
        </w:tc>
        <w:tc>
          <w:tcPr>
            <w:tcW w:w="8546" w:type="dxa"/>
            <w:noWrap w:val="0"/>
            <w:vAlign w:val="top"/>
          </w:tcPr>
          <w:p>
            <w:pPr>
              <w:spacing w:line="320" w:lineRule="exact"/>
              <w:jc w:val="both"/>
              <w:rPr>
                <w:sz w:val="21"/>
                <w:szCs w:val="21"/>
              </w:rPr>
            </w:pPr>
            <w:r>
              <w:rPr>
                <w:rStyle w:val="4"/>
                <w:rFonts w:hint="eastAsia"/>
                <w:sz w:val="21"/>
                <w:szCs w:val="21"/>
              </w:rPr>
              <w:t xml:space="preserve">    A、化学性爆炸；   B、物理性爆炸 </w:t>
            </w:r>
          </w:p>
        </w:tc>
      </w:tr>
      <w:tr>
        <w:tblPrEx>
          <w:tblCellMar>
            <w:top w:w="0" w:type="dxa"/>
            <w:left w:w="0" w:type="dxa"/>
            <w:bottom w:w="0" w:type="dxa"/>
            <w:right w:w="0" w:type="dxa"/>
          </w:tblCellMar>
        </w:tblPrEx>
        <w:trPr>
          <w:tblCellSpacing w:w="0" w:type="dxa"/>
        </w:trPr>
        <w:tc>
          <w:tcPr>
            <w:tcW w:w="525" w:type="dxa"/>
            <w:noWrap w:val="0"/>
            <w:vAlign w:val="top"/>
          </w:tcPr>
          <w:p>
            <w:pPr>
              <w:spacing w:line="320" w:lineRule="exact"/>
              <w:jc w:val="both"/>
              <w:rPr>
                <w:sz w:val="21"/>
                <w:szCs w:val="21"/>
              </w:rPr>
            </w:pPr>
            <w:r>
              <w:rPr>
                <w:rStyle w:val="4"/>
                <w:rFonts w:hint="eastAsia"/>
                <w:sz w:val="21"/>
                <w:szCs w:val="21"/>
              </w:rPr>
              <w:t>102、</w:t>
            </w:r>
          </w:p>
        </w:tc>
        <w:tc>
          <w:tcPr>
            <w:tcW w:w="8546" w:type="dxa"/>
            <w:noWrap w:val="0"/>
            <w:vAlign w:val="top"/>
          </w:tcPr>
          <w:p>
            <w:pPr>
              <w:spacing w:line="320" w:lineRule="exact"/>
              <w:jc w:val="both"/>
              <w:rPr>
                <w:sz w:val="21"/>
                <w:szCs w:val="21"/>
              </w:rPr>
            </w:pPr>
            <w:r>
              <w:rPr>
                <w:rStyle w:val="4"/>
                <w:rFonts w:hint="eastAsia"/>
                <w:sz w:val="21"/>
                <w:szCs w:val="21"/>
              </w:rPr>
              <w:t>【基础知识】爆炸下限大于( )％，为可燃气体。  答案：B</w:t>
            </w:r>
          </w:p>
        </w:tc>
      </w:tr>
      <w:tr>
        <w:tblPrEx>
          <w:tblCellMar>
            <w:top w:w="0" w:type="dxa"/>
            <w:left w:w="0" w:type="dxa"/>
            <w:bottom w:w="0" w:type="dxa"/>
            <w:right w:w="0" w:type="dxa"/>
          </w:tblCellMar>
        </w:tblPrEx>
        <w:trPr>
          <w:tblCellSpacing w:w="0" w:type="dxa"/>
        </w:trPr>
        <w:tc>
          <w:tcPr>
            <w:tcW w:w="525" w:type="dxa"/>
            <w:noWrap w:val="0"/>
            <w:vAlign w:val="top"/>
          </w:tcPr>
          <w:p>
            <w:pPr>
              <w:spacing w:line="320" w:lineRule="exact"/>
              <w:jc w:val="both"/>
              <w:rPr>
                <w:sz w:val="21"/>
                <w:szCs w:val="21"/>
              </w:rPr>
            </w:pPr>
          </w:p>
        </w:tc>
        <w:tc>
          <w:tcPr>
            <w:tcW w:w="8546" w:type="dxa"/>
            <w:noWrap w:val="0"/>
            <w:vAlign w:val="top"/>
          </w:tcPr>
          <w:p>
            <w:pPr>
              <w:spacing w:line="320" w:lineRule="exact"/>
              <w:jc w:val="both"/>
              <w:rPr>
                <w:sz w:val="21"/>
                <w:szCs w:val="21"/>
              </w:rPr>
            </w:pPr>
            <w:r>
              <w:rPr>
                <w:rStyle w:val="4"/>
                <w:rFonts w:hint="eastAsia"/>
                <w:sz w:val="21"/>
                <w:szCs w:val="21"/>
              </w:rPr>
              <w:t xml:space="preserve">    A、20；   B、10；   C、15；   D、5 </w:t>
            </w:r>
          </w:p>
        </w:tc>
      </w:tr>
      <w:tr>
        <w:tblPrEx>
          <w:tblCellMar>
            <w:top w:w="0" w:type="dxa"/>
            <w:left w:w="0" w:type="dxa"/>
            <w:bottom w:w="0" w:type="dxa"/>
            <w:right w:w="0" w:type="dxa"/>
          </w:tblCellMar>
        </w:tblPrEx>
        <w:trPr>
          <w:tblCellSpacing w:w="0" w:type="dxa"/>
        </w:trPr>
        <w:tc>
          <w:tcPr>
            <w:tcW w:w="525" w:type="dxa"/>
            <w:noWrap w:val="0"/>
            <w:vAlign w:val="top"/>
          </w:tcPr>
          <w:p>
            <w:pPr>
              <w:spacing w:line="320" w:lineRule="exact"/>
              <w:jc w:val="both"/>
              <w:rPr>
                <w:sz w:val="21"/>
                <w:szCs w:val="21"/>
              </w:rPr>
            </w:pPr>
            <w:r>
              <w:rPr>
                <w:rStyle w:val="4"/>
                <w:rFonts w:hint="eastAsia"/>
                <w:sz w:val="21"/>
                <w:szCs w:val="21"/>
              </w:rPr>
              <w:t>103、</w:t>
            </w:r>
          </w:p>
        </w:tc>
        <w:tc>
          <w:tcPr>
            <w:tcW w:w="8546" w:type="dxa"/>
            <w:noWrap w:val="0"/>
            <w:vAlign w:val="top"/>
          </w:tcPr>
          <w:p>
            <w:pPr>
              <w:spacing w:line="320" w:lineRule="exact"/>
              <w:jc w:val="both"/>
              <w:rPr>
                <w:sz w:val="21"/>
                <w:szCs w:val="21"/>
              </w:rPr>
            </w:pPr>
            <w:r>
              <w:rPr>
                <w:rStyle w:val="4"/>
                <w:rFonts w:hint="eastAsia"/>
                <w:sz w:val="21"/>
                <w:szCs w:val="21"/>
              </w:rPr>
              <w:t>【基础知识】表压力也就是相对压力。（ ）  答案：A</w:t>
            </w:r>
          </w:p>
        </w:tc>
      </w:tr>
      <w:tr>
        <w:tblPrEx>
          <w:tblCellMar>
            <w:top w:w="0" w:type="dxa"/>
            <w:left w:w="0" w:type="dxa"/>
            <w:bottom w:w="0" w:type="dxa"/>
            <w:right w:w="0" w:type="dxa"/>
          </w:tblCellMar>
        </w:tblPrEx>
        <w:trPr>
          <w:tblCellSpacing w:w="0" w:type="dxa"/>
        </w:trPr>
        <w:tc>
          <w:tcPr>
            <w:tcW w:w="525" w:type="dxa"/>
            <w:noWrap w:val="0"/>
            <w:vAlign w:val="top"/>
          </w:tcPr>
          <w:p>
            <w:pPr>
              <w:spacing w:line="320" w:lineRule="exact"/>
              <w:jc w:val="both"/>
              <w:rPr>
                <w:sz w:val="21"/>
                <w:szCs w:val="21"/>
              </w:rPr>
            </w:pPr>
          </w:p>
        </w:tc>
        <w:tc>
          <w:tcPr>
            <w:tcW w:w="8546" w:type="dxa"/>
            <w:noWrap w:val="0"/>
            <w:vAlign w:val="top"/>
          </w:tcPr>
          <w:p>
            <w:pPr>
              <w:spacing w:line="320" w:lineRule="exact"/>
              <w:jc w:val="both"/>
              <w:rPr>
                <w:sz w:val="21"/>
                <w:szCs w:val="21"/>
              </w:rPr>
            </w:pPr>
            <w:r>
              <w:rPr>
                <w:rStyle w:val="4"/>
                <w:rFonts w:hint="eastAsia"/>
                <w:sz w:val="21"/>
                <w:szCs w:val="21"/>
              </w:rPr>
              <w:t xml:space="preserve">    A、正确；   B、错误 </w:t>
            </w:r>
          </w:p>
        </w:tc>
      </w:tr>
      <w:tr>
        <w:tblPrEx>
          <w:tblCellMar>
            <w:top w:w="0" w:type="dxa"/>
            <w:left w:w="0" w:type="dxa"/>
            <w:bottom w:w="0" w:type="dxa"/>
            <w:right w:w="0" w:type="dxa"/>
          </w:tblCellMar>
        </w:tblPrEx>
        <w:trPr>
          <w:tblCellSpacing w:w="0" w:type="dxa"/>
        </w:trPr>
        <w:tc>
          <w:tcPr>
            <w:tcW w:w="525" w:type="dxa"/>
            <w:noWrap w:val="0"/>
            <w:vAlign w:val="top"/>
          </w:tcPr>
          <w:p>
            <w:pPr>
              <w:spacing w:line="320" w:lineRule="exact"/>
              <w:jc w:val="both"/>
              <w:rPr>
                <w:sz w:val="21"/>
                <w:szCs w:val="21"/>
              </w:rPr>
            </w:pPr>
            <w:r>
              <w:rPr>
                <w:rStyle w:val="4"/>
                <w:rFonts w:hint="eastAsia"/>
                <w:sz w:val="21"/>
                <w:szCs w:val="21"/>
              </w:rPr>
              <w:t>104、</w:t>
            </w:r>
          </w:p>
        </w:tc>
        <w:tc>
          <w:tcPr>
            <w:tcW w:w="8546" w:type="dxa"/>
            <w:noWrap w:val="0"/>
            <w:vAlign w:val="top"/>
          </w:tcPr>
          <w:p>
            <w:pPr>
              <w:spacing w:line="320" w:lineRule="exact"/>
              <w:jc w:val="both"/>
              <w:rPr>
                <w:sz w:val="21"/>
                <w:szCs w:val="21"/>
              </w:rPr>
            </w:pPr>
            <w:r>
              <w:rPr>
                <w:rStyle w:val="4"/>
                <w:rFonts w:hint="eastAsia"/>
                <w:sz w:val="21"/>
                <w:szCs w:val="21"/>
              </w:rPr>
              <w:t>【基础知识】不存在不能液化的气体。（）  答案：A</w:t>
            </w:r>
          </w:p>
        </w:tc>
      </w:tr>
      <w:tr>
        <w:tblPrEx>
          <w:tblCellMar>
            <w:top w:w="0" w:type="dxa"/>
            <w:left w:w="0" w:type="dxa"/>
            <w:bottom w:w="0" w:type="dxa"/>
            <w:right w:w="0" w:type="dxa"/>
          </w:tblCellMar>
        </w:tblPrEx>
        <w:trPr>
          <w:tblCellSpacing w:w="0" w:type="dxa"/>
        </w:trPr>
        <w:tc>
          <w:tcPr>
            <w:tcW w:w="525" w:type="dxa"/>
            <w:noWrap w:val="0"/>
            <w:vAlign w:val="top"/>
          </w:tcPr>
          <w:p>
            <w:pPr>
              <w:spacing w:line="320" w:lineRule="exact"/>
              <w:jc w:val="both"/>
              <w:rPr>
                <w:sz w:val="21"/>
                <w:szCs w:val="21"/>
              </w:rPr>
            </w:pPr>
          </w:p>
        </w:tc>
        <w:tc>
          <w:tcPr>
            <w:tcW w:w="8546" w:type="dxa"/>
            <w:noWrap w:val="0"/>
            <w:vAlign w:val="top"/>
          </w:tcPr>
          <w:p>
            <w:pPr>
              <w:spacing w:line="320" w:lineRule="exact"/>
              <w:jc w:val="both"/>
              <w:rPr>
                <w:sz w:val="21"/>
                <w:szCs w:val="21"/>
              </w:rPr>
            </w:pPr>
            <w:r>
              <w:rPr>
                <w:rStyle w:val="4"/>
                <w:rFonts w:hint="eastAsia"/>
                <w:sz w:val="21"/>
                <w:szCs w:val="21"/>
              </w:rPr>
              <w:t xml:space="preserve">    A、正确；   B、错误； </w:t>
            </w:r>
          </w:p>
        </w:tc>
      </w:tr>
      <w:tr>
        <w:tblPrEx>
          <w:tblCellMar>
            <w:top w:w="0" w:type="dxa"/>
            <w:left w:w="0" w:type="dxa"/>
            <w:bottom w:w="0" w:type="dxa"/>
            <w:right w:w="0" w:type="dxa"/>
          </w:tblCellMar>
        </w:tblPrEx>
        <w:trPr>
          <w:tblCellSpacing w:w="0" w:type="dxa"/>
        </w:trPr>
        <w:tc>
          <w:tcPr>
            <w:tcW w:w="525" w:type="dxa"/>
            <w:noWrap w:val="0"/>
            <w:vAlign w:val="top"/>
          </w:tcPr>
          <w:p>
            <w:pPr>
              <w:spacing w:line="320" w:lineRule="exact"/>
              <w:jc w:val="both"/>
              <w:rPr>
                <w:sz w:val="21"/>
                <w:szCs w:val="21"/>
              </w:rPr>
            </w:pPr>
            <w:r>
              <w:rPr>
                <w:rStyle w:val="4"/>
                <w:rFonts w:hint="eastAsia"/>
                <w:sz w:val="21"/>
                <w:szCs w:val="21"/>
              </w:rPr>
              <w:t>105、</w:t>
            </w:r>
          </w:p>
        </w:tc>
        <w:tc>
          <w:tcPr>
            <w:tcW w:w="8546" w:type="dxa"/>
            <w:noWrap w:val="0"/>
            <w:vAlign w:val="top"/>
          </w:tcPr>
          <w:p>
            <w:pPr>
              <w:spacing w:line="320" w:lineRule="exact"/>
              <w:jc w:val="both"/>
              <w:rPr>
                <w:sz w:val="21"/>
                <w:szCs w:val="21"/>
              </w:rPr>
            </w:pPr>
            <w:r>
              <w:rPr>
                <w:rStyle w:val="4"/>
                <w:rFonts w:hint="eastAsia"/>
                <w:sz w:val="21"/>
                <w:szCs w:val="21"/>
              </w:rPr>
              <w:t>【基础知识】不能液化的气体称为永久气体。（）  答案：B</w:t>
            </w:r>
          </w:p>
        </w:tc>
      </w:tr>
      <w:tr>
        <w:tblPrEx>
          <w:tblCellMar>
            <w:top w:w="0" w:type="dxa"/>
            <w:left w:w="0" w:type="dxa"/>
            <w:bottom w:w="0" w:type="dxa"/>
            <w:right w:w="0" w:type="dxa"/>
          </w:tblCellMar>
        </w:tblPrEx>
        <w:trPr>
          <w:tblCellSpacing w:w="0" w:type="dxa"/>
        </w:trPr>
        <w:tc>
          <w:tcPr>
            <w:tcW w:w="525" w:type="dxa"/>
            <w:noWrap w:val="0"/>
            <w:vAlign w:val="top"/>
          </w:tcPr>
          <w:p>
            <w:pPr>
              <w:spacing w:line="320" w:lineRule="exact"/>
              <w:jc w:val="both"/>
              <w:rPr>
                <w:sz w:val="21"/>
                <w:szCs w:val="21"/>
              </w:rPr>
            </w:pPr>
          </w:p>
        </w:tc>
        <w:tc>
          <w:tcPr>
            <w:tcW w:w="8546" w:type="dxa"/>
            <w:noWrap w:val="0"/>
            <w:vAlign w:val="top"/>
          </w:tcPr>
          <w:p>
            <w:pPr>
              <w:spacing w:line="320" w:lineRule="exact"/>
              <w:jc w:val="both"/>
              <w:rPr>
                <w:sz w:val="21"/>
                <w:szCs w:val="21"/>
              </w:rPr>
            </w:pPr>
            <w:r>
              <w:rPr>
                <w:rStyle w:val="4"/>
                <w:rFonts w:hint="eastAsia"/>
                <w:sz w:val="21"/>
                <w:szCs w:val="21"/>
              </w:rPr>
              <w:t xml:space="preserve">    A、正确；   B、错误； </w:t>
            </w:r>
          </w:p>
        </w:tc>
      </w:tr>
      <w:tr>
        <w:tblPrEx>
          <w:tblCellMar>
            <w:top w:w="0" w:type="dxa"/>
            <w:left w:w="0" w:type="dxa"/>
            <w:bottom w:w="0" w:type="dxa"/>
            <w:right w:w="0" w:type="dxa"/>
          </w:tblCellMar>
        </w:tblPrEx>
        <w:trPr>
          <w:tblCellSpacing w:w="0" w:type="dxa"/>
        </w:trPr>
        <w:tc>
          <w:tcPr>
            <w:tcW w:w="525" w:type="dxa"/>
            <w:noWrap w:val="0"/>
            <w:vAlign w:val="top"/>
          </w:tcPr>
          <w:p>
            <w:pPr>
              <w:spacing w:line="320" w:lineRule="exact"/>
              <w:jc w:val="both"/>
              <w:rPr>
                <w:sz w:val="21"/>
                <w:szCs w:val="21"/>
              </w:rPr>
            </w:pPr>
            <w:r>
              <w:rPr>
                <w:rStyle w:val="4"/>
                <w:rFonts w:hint="eastAsia"/>
                <w:sz w:val="21"/>
                <w:szCs w:val="21"/>
              </w:rPr>
              <w:t>106、</w:t>
            </w:r>
          </w:p>
        </w:tc>
        <w:tc>
          <w:tcPr>
            <w:tcW w:w="8546" w:type="dxa"/>
            <w:noWrap w:val="0"/>
            <w:vAlign w:val="top"/>
          </w:tcPr>
          <w:p>
            <w:pPr>
              <w:spacing w:line="320" w:lineRule="exact"/>
              <w:jc w:val="both"/>
              <w:rPr>
                <w:rStyle w:val="4"/>
                <w:sz w:val="21"/>
                <w:szCs w:val="21"/>
              </w:rPr>
            </w:pPr>
            <w:r>
              <w:rPr>
                <w:rStyle w:val="4"/>
                <w:rFonts w:hint="eastAsia"/>
                <w:sz w:val="21"/>
                <w:szCs w:val="21"/>
              </w:rPr>
              <w:t>【基础知识】操作人员若穿带化纤衣服，在行走脱衣时也会因摩擦使人体带电。（ ）  </w:t>
            </w:r>
          </w:p>
          <w:p>
            <w:pPr>
              <w:spacing w:line="320" w:lineRule="exact"/>
              <w:jc w:val="both"/>
            </w:pPr>
            <w:r>
              <w:rPr>
                <w:rStyle w:val="4"/>
                <w:rFonts w:hint="eastAsia"/>
                <w:sz w:val="21"/>
                <w:szCs w:val="21"/>
              </w:rPr>
              <w:t>答案：A</w:t>
            </w:r>
          </w:p>
        </w:tc>
      </w:tr>
      <w:tr>
        <w:tblPrEx>
          <w:tblCellMar>
            <w:top w:w="0" w:type="dxa"/>
            <w:left w:w="0" w:type="dxa"/>
            <w:bottom w:w="0" w:type="dxa"/>
            <w:right w:w="0" w:type="dxa"/>
          </w:tblCellMar>
        </w:tblPrEx>
        <w:trPr>
          <w:tblCellSpacing w:w="0" w:type="dxa"/>
        </w:trPr>
        <w:tc>
          <w:tcPr>
            <w:tcW w:w="525" w:type="dxa"/>
            <w:noWrap w:val="0"/>
            <w:vAlign w:val="top"/>
          </w:tcPr>
          <w:p>
            <w:pPr>
              <w:spacing w:line="320" w:lineRule="exact"/>
              <w:jc w:val="both"/>
              <w:rPr>
                <w:sz w:val="21"/>
                <w:szCs w:val="21"/>
              </w:rPr>
            </w:pPr>
          </w:p>
        </w:tc>
        <w:tc>
          <w:tcPr>
            <w:tcW w:w="8546" w:type="dxa"/>
            <w:noWrap w:val="0"/>
            <w:vAlign w:val="top"/>
          </w:tcPr>
          <w:p>
            <w:pPr>
              <w:spacing w:line="320" w:lineRule="exact"/>
              <w:jc w:val="both"/>
              <w:rPr>
                <w:sz w:val="21"/>
                <w:szCs w:val="21"/>
              </w:rPr>
            </w:pPr>
            <w:r>
              <w:rPr>
                <w:rStyle w:val="4"/>
                <w:rFonts w:hint="eastAsia"/>
                <w:sz w:val="21"/>
                <w:szCs w:val="21"/>
              </w:rPr>
              <w:t xml:space="preserve">    A、正确；   B、错误 </w:t>
            </w:r>
          </w:p>
        </w:tc>
      </w:tr>
      <w:tr>
        <w:tblPrEx>
          <w:tblCellMar>
            <w:top w:w="0" w:type="dxa"/>
            <w:left w:w="0" w:type="dxa"/>
            <w:bottom w:w="0" w:type="dxa"/>
            <w:right w:w="0" w:type="dxa"/>
          </w:tblCellMar>
        </w:tblPrEx>
        <w:trPr>
          <w:tblCellSpacing w:w="0" w:type="dxa"/>
        </w:trPr>
        <w:tc>
          <w:tcPr>
            <w:tcW w:w="525" w:type="dxa"/>
            <w:noWrap w:val="0"/>
            <w:vAlign w:val="top"/>
          </w:tcPr>
          <w:p>
            <w:pPr>
              <w:spacing w:line="320" w:lineRule="exact"/>
              <w:jc w:val="both"/>
              <w:rPr>
                <w:sz w:val="21"/>
                <w:szCs w:val="21"/>
              </w:rPr>
            </w:pPr>
            <w:r>
              <w:rPr>
                <w:rStyle w:val="4"/>
                <w:rFonts w:hint="eastAsia"/>
                <w:sz w:val="21"/>
                <w:szCs w:val="21"/>
              </w:rPr>
              <w:t>176、</w:t>
            </w:r>
          </w:p>
        </w:tc>
        <w:tc>
          <w:tcPr>
            <w:tcW w:w="8546" w:type="dxa"/>
            <w:noWrap w:val="0"/>
            <w:vAlign w:val="top"/>
          </w:tcPr>
          <w:p>
            <w:pPr>
              <w:spacing w:line="320" w:lineRule="exact"/>
              <w:jc w:val="both"/>
              <w:rPr>
                <w:sz w:val="21"/>
                <w:szCs w:val="21"/>
              </w:rPr>
            </w:pPr>
            <w:r>
              <w:rPr>
                <w:rStyle w:val="4"/>
                <w:rFonts w:hint="eastAsia"/>
                <w:sz w:val="21"/>
                <w:szCs w:val="21"/>
              </w:rPr>
              <w:t>【专业与安全知识】（ ）运输瓶装气体应有遮阳设施，避免曝晒；在城市的繁华地区应避免白天运输。  答案：B</w:t>
            </w:r>
          </w:p>
        </w:tc>
      </w:tr>
      <w:tr>
        <w:tblPrEx>
          <w:tblCellMar>
            <w:top w:w="0" w:type="dxa"/>
            <w:left w:w="0" w:type="dxa"/>
            <w:bottom w:w="0" w:type="dxa"/>
            <w:right w:w="0" w:type="dxa"/>
          </w:tblCellMar>
        </w:tblPrEx>
        <w:trPr>
          <w:tblCellSpacing w:w="0" w:type="dxa"/>
        </w:trPr>
        <w:tc>
          <w:tcPr>
            <w:tcW w:w="525" w:type="dxa"/>
            <w:noWrap w:val="0"/>
            <w:vAlign w:val="top"/>
          </w:tcPr>
          <w:p>
            <w:pPr>
              <w:spacing w:line="320" w:lineRule="exact"/>
              <w:jc w:val="both"/>
              <w:rPr>
                <w:sz w:val="21"/>
                <w:szCs w:val="21"/>
              </w:rPr>
            </w:pPr>
          </w:p>
        </w:tc>
        <w:tc>
          <w:tcPr>
            <w:tcW w:w="8546" w:type="dxa"/>
            <w:noWrap w:val="0"/>
            <w:vAlign w:val="top"/>
          </w:tcPr>
          <w:p>
            <w:pPr>
              <w:spacing w:line="320" w:lineRule="exact"/>
              <w:jc w:val="both"/>
              <w:rPr>
                <w:sz w:val="21"/>
                <w:szCs w:val="21"/>
              </w:rPr>
            </w:pPr>
            <w:r>
              <w:rPr>
                <w:rStyle w:val="4"/>
                <w:rFonts w:hint="eastAsia"/>
                <w:sz w:val="21"/>
                <w:szCs w:val="21"/>
              </w:rPr>
              <w:t xml:space="preserve">    A、 春季；   B、夏季；   C、秋季；   D、冬季 </w:t>
            </w:r>
          </w:p>
        </w:tc>
      </w:tr>
      <w:tr>
        <w:tblPrEx>
          <w:tblCellMar>
            <w:top w:w="0" w:type="dxa"/>
            <w:left w:w="0" w:type="dxa"/>
            <w:bottom w:w="0" w:type="dxa"/>
            <w:right w:w="0" w:type="dxa"/>
          </w:tblCellMar>
        </w:tblPrEx>
        <w:trPr>
          <w:tblCellSpacing w:w="0" w:type="dxa"/>
        </w:trPr>
        <w:tc>
          <w:tcPr>
            <w:tcW w:w="525" w:type="dxa"/>
            <w:noWrap w:val="0"/>
            <w:vAlign w:val="top"/>
          </w:tcPr>
          <w:p>
            <w:pPr>
              <w:spacing w:line="320" w:lineRule="exact"/>
              <w:jc w:val="both"/>
              <w:rPr>
                <w:sz w:val="21"/>
                <w:szCs w:val="21"/>
              </w:rPr>
            </w:pPr>
            <w:r>
              <w:rPr>
                <w:rStyle w:val="4"/>
                <w:rFonts w:hint="eastAsia"/>
                <w:sz w:val="21"/>
                <w:szCs w:val="21"/>
              </w:rPr>
              <w:t>177、</w:t>
            </w:r>
          </w:p>
        </w:tc>
        <w:tc>
          <w:tcPr>
            <w:tcW w:w="8546" w:type="dxa"/>
            <w:noWrap w:val="0"/>
            <w:vAlign w:val="top"/>
          </w:tcPr>
          <w:p>
            <w:pPr>
              <w:spacing w:line="320" w:lineRule="exact"/>
              <w:jc w:val="both"/>
              <w:rPr>
                <w:sz w:val="21"/>
                <w:szCs w:val="21"/>
              </w:rPr>
            </w:pPr>
            <w:r>
              <w:rPr>
                <w:rStyle w:val="4"/>
                <w:rFonts w:hint="eastAsia"/>
                <w:sz w:val="21"/>
                <w:szCs w:val="21"/>
              </w:rPr>
              <w:t>【专业与安全知识】（）， 并可通过车载贮气瓶运输系统为子站供应压缩天然气的加气站，称作加气母站。  答案：B</w:t>
            </w:r>
          </w:p>
        </w:tc>
      </w:tr>
      <w:tr>
        <w:tblPrEx>
          <w:tblCellMar>
            <w:top w:w="0" w:type="dxa"/>
            <w:left w:w="0" w:type="dxa"/>
            <w:bottom w:w="0" w:type="dxa"/>
            <w:right w:w="0" w:type="dxa"/>
          </w:tblCellMar>
        </w:tblPrEx>
        <w:trPr>
          <w:tblCellSpacing w:w="0" w:type="dxa"/>
        </w:trPr>
        <w:tc>
          <w:tcPr>
            <w:tcW w:w="525" w:type="dxa"/>
            <w:noWrap w:val="0"/>
            <w:vAlign w:val="top"/>
          </w:tcPr>
          <w:p>
            <w:pPr>
              <w:spacing w:line="320" w:lineRule="exact"/>
              <w:jc w:val="both"/>
              <w:rPr>
                <w:sz w:val="21"/>
                <w:szCs w:val="21"/>
              </w:rPr>
            </w:pPr>
          </w:p>
        </w:tc>
        <w:tc>
          <w:tcPr>
            <w:tcW w:w="8546" w:type="dxa"/>
            <w:noWrap w:val="0"/>
            <w:vAlign w:val="top"/>
          </w:tcPr>
          <w:p>
            <w:pPr>
              <w:spacing w:line="320" w:lineRule="exact"/>
              <w:ind w:firstLine="432"/>
              <w:jc w:val="both"/>
              <w:rPr>
                <w:rStyle w:val="4"/>
                <w:sz w:val="21"/>
                <w:szCs w:val="21"/>
              </w:rPr>
            </w:pPr>
            <w:r>
              <w:rPr>
                <w:rStyle w:val="4"/>
                <w:rFonts w:hint="eastAsia"/>
                <w:sz w:val="21"/>
                <w:szCs w:val="21"/>
              </w:rPr>
              <w:t xml:space="preserve">A、除压缩天然气外；   B、除自身具有给天然气汽车加气功能外；   </w:t>
            </w:r>
          </w:p>
          <w:p>
            <w:pPr>
              <w:spacing w:line="320" w:lineRule="exact"/>
              <w:ind w:firstLine="432"/>
              <w:jc w:val="both"/>
            </w:pPr>
            <w:r>
              <w:rPr>
                <w:rStyle w:val="4"/>
                <w:rFonts w:hint="eastAsia"/>
                <w:sz w:val="21"/>
                <w:szCs w:val="21"/>
              </w:rPr>
              <w:t xml:space="preserve">C、除贮存、压缩天然气外；   D、除净化、压缩天然气外 </w:t>
            </w:r>
          </w:p>
        </w:tc>
      </w:tr>
      <w:tr>
        <w:tblPrEx>
          <w:tblCellMar>
            <w:top w:w="0" w:type="dxa"/>
            <w:left w:w="0" w:type="dxa"/>
            <w:bottom w:w="0" w:type="dxa"/>
            <w:right w:w="0" w:type="dxa"/>
          </w:tblCellMar>
        </w:tblPrEx>
        <w:trPr>
          <w:tblCellSpacing w:w="0" w:type="dxa"/>
        </w:trPr>
        <w:tc>
          <w:tcPr>
            <w:tcW w:w="525" w:type="dxa"/>
            <w:noWrap w:val="0"/>
            <w:vAlign w:val="top"/>
          </w:tcPr>
          <w:p>
            <w:pPr>
              <w:spacing w:line="320" w:lineRule="exact"/>
              <w:jc w:val="both"/>
              <w:rPr>
                <w:sz w:val="21"/>
                <w:szCs w:val="21"/>
              </w:rPr>
            </w:pPr>
            <w:r>
              <w:rPr>
                <w:rStyle w:val="4"/>
                <w:rFonts w:hint="eastAsia"/>
                <w:sz w:val="21"/>
                <w:szCs w:val="21"/>
              </w:rPr>
              <w:t>178、</w:t>
            </w:r>
          </w:p>
        </w:tc>
        <w:tc>
          <w:tcPr>
            <w:tcW w:w="8546" w:type="dxa"/>
            <w:noWrap w:val="0"/>
            <w:vAlign w:val="top"/>
          </w:tcPr>
          <w:p>
            <w:pPr>
              <w:spacing w:line="320" w:lineRule="exact"/>
              <w:jc w:val="both"/>
              <w:rPr>
                <w:sz w:val="21"/>
                <w:szCs w:val="21"/>
              </w:rPr>
            </w:pPr>
            <w:r>
              <w:rPr>
                <w:rStyle w:val="4"/>
                <w:rFonts w:hint="eastAsia"/>
                <w:sz w:val="21"/>
                <w:szCs w:val="21"/>
              </w:rPr>
              <w:t>【专业与安全知识】（）脱水装置放置在压缩机的进口之前。  答案：C</w:t>
            </w:r>
          </w:p>
        </w:tc>
      </w:tr>
      <w:tr>
        <w:tblPrEx>
          <w:tblCellMar>
            <w:top w:w="0" w:type="dxa"/>
            <w:left w:w="0" w:type="dxa"/>
            <w:bottom w:w="0" w:type="dxa"/>
            <w:right w:w="0" w:type="dxa"/>
          </w:tblCellMar>
        </w:tblPrEx>
        <w:trPr>
          <w:tblCellSpacing w:w="0" w:type="dxa"/>
        </w:trPr>
        <w:tc>
          <w:tcPr>
            <w:tcW w:w="525" w:type="dxa"/>
            <w:noWrap w:val="0"/>
            <w:vAlign w:val="top"/>
          </w:tcPr>
          <w:p>
            <w:pPr>
              <w:spacing w:line="320" w:lineRule="exact"/>
              <w:jc w:val="both"/>
              <w:rPr>
                <w:sz w:val="21"/>
                <w:szCs w:val="21"/>
              </w:rPr>
            </w:pPr>
          </w:p>
        </w:tc>
        <w:tc>
          <w:tcPr>
            <w:tcW w:w="8546" w:type="dxa"/>
            <w:noWrap w:val="0"/>
            <w:vAlign w:val="top"/>
          </w:tcPr>
          <w:p>
            <w:pPr>
              <w:spacing w:line="320" w:lineRule="exact"/>
              <w:jc w:val="both"/>
              <w:rPr>
                <w:sz w:val="21"/>
                <w:szCs w:val="21"/>
              </w:rPr>
            </w:pPr>
            <w:r>
              <w:rPr>
                <w:rStyle w:val="4"/>
                <w:rFonts w:hint="eastAsia"/>
                <w:sz w:val="21"/>
                <w:szCs w:val="21"/>
              </w:rPr>
              <w:t xml:space="preserve">    A、高压；   B、中压；   C、低压 </w:t>
            </w:r>
          </w:p>
        </w:tc>
      </w:tr>
      <w:tr>
        <w:tblPrEx>
          <w:tblCellMar>
            <w:top w:w="0" w:type="dxa"/>
            <w:left w:w="0" w:type="dxa"/>
            <w:bottom w:w="0" w:type="dxa"/>
            <w:right w:w="0" w:type="dxa"/>
          </w:tblCellMar>
        </w:tblPrEx>
        <w:trPr>
          <w:tblCellSpacing w:w="0" w:type="dxa"/>
        </w:trPr>
        <w:tc>
          <w:tcPr>
            <w:tcW w:w="525" w:type="dxa"/>
            <w:noWrap w:val="0"/>
            <w:vAlign w:val="top"/>
          </w:tcPr>
          <w:p>
            <w:pPr>
              <w:spacing w:line="320" w:lineRule="exact"/>
              <w:jc w:val="both"/>
              <w:rPr>
                <w:sz w:val="21"/>
                <w:szCs w:val="21"/>
              </w:rPr>
            </w:pPr>
            <w:r>
              <w:rPr>
                <w:rStyle w:val="4"/>
                <w:rFonts w:hint="eastAsia"/>
                <w:sz w:val="21"/>
                <w:szCs w:val="21"/>
              </w:rPr>
              <w:t>179、</w:t>
            </w:r>
          </w:p>
        </w:tc>
        <w:tc>
          <w:tcPr>
            <w:tcW w:w="8546" w:type="dxa"/>
            <w:noWrap w:val="0"/>
            <w:vAlign w:val="top"/>
          </w:tcPr>
          <w:p>
            <w:pPr>
              <w:spacing w:line="320" w:lineRule="exact"/>
              <w:jc w:val="both"/>
              <w:rPr>
                <w:sz w:val="21"/>
                <w:szCs w:val="21"/>
              </w:rPr>
            </w:pPr>
            <w:r>
              <w:rPr>
                <w:rStyle w:val="4"/>
                <w:rFonts w:hint="eastAsia"/>
                <w:sz w:val="21"/>
                <w:szCs w:val="21"/>
              </w:rPr>
              <w:t>【专业与安全知识】（）脱水装置放置在压缩机的末级出口处。  答案：A</w:t>
            </w:r>
          </w:p>
        </w:tc>
      </w:tr>
      <w:tr>
        <w:tblPrEx>
          <w:tblCellMar>
            <w:top w:w="0" w:type="dxa"/>
            <w:left w:w="0" w:type="dxa"/>
            <w:bottom w:w="0" w:type="dxa"/>
            <w:right w:w="0" w:type="dxa"/>
          </w:tblCellMar>
        </w:tblPrEx>
        <w:trPr>
          <w:tblCellSpacing w:w="0" w:type="dxa"/>
        </w:trPr>
        <w:tc>
          <w:tcPr>
            <w:tcW w:w="525" w:type="dxa"/>
            <w:noWrap w:val="0"/>
            <w:vAlign w:val="top"/>
          </w:tcPr>
          <w:p>
            <w:pPr>
              <w:spacing w:line="320" w:lineRule="exact"/>
              <w:jc w:val="both"/>
              <w:rPr>
                <w:sz w:val="21"/>
                <w:szCs w:val="21"/>
              </w:rPr>
            </w:pPr>
          </w:p>
        </w:tc>
        <w:tc>
          <w:tcPr>
            <w:tcW w:w="8546" w:type="dxa"/>
            <w:noWrap w:val="0"/>
            <w:vAlign w:val="top"/>
          </w:tcPr>
          <w:p>
            <w:pPr>
              <w:spacing w:line="320" w:lineRule="exact"/>
              <w:jc w:val="both"/>
              <w:rPr>
                <w:sz w:val="21"/>
                <w:szCs w:val="21"/>
              </w:rPr>
            </w:pPr>
            <w:r>
              <w:rPr>
                <w:rStyle w:val="4"/>
                <w:rFonts w:hint="eastAsia"/>
                <w:sz w:val="21"/>
                <w:szCs w:val="21"/>
              </w:rPr>
              <w:t xml:space="preserve">    A、高压；   B、中压；   C、低压 </w:t>
            </w:r>
          </w:p>
        </w:tc>
      </w:tr>
      <w:tr>
        <w:tblPrEx>
          <w:tblCellMar>
            <w:top w:w="0" w:type="dxa"/>
            <w:left w:w="0" w:type="dxa"/>
            <w:bottom w:w="0" w:type="dxa"/>
            <w:right w:w="0" w:type="dxa"/>
          </w:tblCellMar>
        </w:tblPrEx>
        <w:trPr>
          <w:tblCellSpacing w:w="0" w:type="dxa"/>
        </w:trPr>
        <w:tc>
          <w:tcPr>
            <w:tcW w:w="525" w:type="dxa"/>
            <w:noWrap w:val="0"/>
            <w:vAlign w:val="top"/>
          </w:tcPr>
          <w:p>
            <w:pPr>
              <w:spacing w:line="320" w:lineRule="exact"/>
              <w:jc w:val="both"/>
              <w:rPr>
                <w:sz w:val="21"/>
                <w:szCs w:val="21"/>
              </w:rPr>
            </w:pPr>
            <w:r>
              <w:rPr>
                <w:rStyle w:val="4"/>
                <w:rFonts w:hint="eastAsia"/>
                <w:sz w:val="21"/>
                <w:szCs w:val="21"/>
              </w:rPr>
              <w:t>180、</w:t>
            </w:r>
          </w:p>
        </w:tc>
        <w:tc>
          <w:tcPr>
            <w:tcW w:w="8546" w:type="dxa"/>
            <w:noWrap w:val="0"/>
            <w:vAlign w:val="top"/>
          </w:tcPr>
          <w:p>
            <w:pPr>
              <w:spacing w:line="320" w:lineRule="exact"/>
              <w:jc w:val="both"/>
              <w:rPr>
                <w:sz w:val="21"/>
                <w:szCs w:val="21"/>
              </w:rPr>
            </w:pPr>
            <w:r>
              <w:rPr>
                <w:rStyle w:val="4"/>
                <w:rFonts w:hint="eastAsia"/>
                <w:sz w:val="21"/>
                <w:szCs w:val="21"/>
              </w:rPr>
              <w:t>【专业与安全知识】（）脱水装置放置在压缩机的中间出口处。  答案：B</w:t>
            </w:r>
          </w:p>
        </w:tc>
      </w:tr>
      <w:tr>
        <w:tblPrEx>
          <w:tblCellMar>
            <w:top w:w="0" w:type="dxa"/>
            <w:left w:w="0" w:type="dxa"/>
            <w:bottom w:w="0" w:type="dxa"/>
            <w:right w:w="0" w:type="dxa"/>
          </w:tblCellMar>
        </w:tblPrEx>
        <w:trPr>
          <w:tblCellSpacing w:w="0" w:type="dxa"/>
        </w:trPr>
        <w:tc>
          <w:tcPr>
            <w:tcW w:w="525" w:type="dxa"/>
            <w:noWrap w:val="0"/>
            <w:vAlign w:val="top"/>
          </w:tcPr>
          <w:p>
            <w:pPr>
              <w:spacing w:line="320" w:lineRule="exact"/>
              <w:jc w:val="both"/>
              <w:rPr>
                <w:sz w:val="21"/>
                <w:szCs w:val="21"/>
              </w:rPr>
            </w:pPr>
          </w:p>
        </w:tc>
        <w:tc>
          <w:tcPr>
            <w:tcW w:w="8546" w:type="dxa"/>
            <w:noWrap w:val="0"/>
            <w:vAlign w:val="top"/>
          </w:tcPr>
          <w:p>
            <w:pPr>
              <w:spacing w:line="320" w:lineRule="exact"/>
              <w:jc w:val="both"/>
              <w:rPr>
                <w:sz w:val="21"/>
                <w:szCs w:val="21"/>
              </w:rPr>
            </w:pPr>
            <w:r>
              <w:rPr>
                <w:rStyle w:val="4"/>
                <w:rFonts w:hint="eastAsia"/>
                <w:sz w:val="21"/>
                <w:szCs w:val="21"/>
              </w:rPr>
              <w:t xml:space="preserve">    A、高压；   B、中压；   C、低压 </w:t>
            </w:r>
          </w:p>
        </w:tc>
      </w:tr>
      <w:tr>
        <w:tblPrEx>
          <w:tblCellMar>
            <w:top w:w="0" w:type="dxa"/>
            <w:left w:w="0" w:type="dxa"/>
            <w:bottom w:w="0" w:type="dxa"/>
            <w:right w:w="0" w:type="dxa"/>
          </w:tblCellMar>
        </w:tblPrEx>
        <w:trPr>
          <w:tblCellSpacing w:w="0" w:type="dxa"/>
        </w:trPr>
        <w:tc>
          <w:tcPr>
            <w:tcW w:w="525" w:type="dxa"/>
            <w:noWrap w:val="0"/>
            <w:vAlign w:val="top"/>
          </w:tcPr>
          <w:p>
            <w:pPr>
              <w:spacing w:line="320" w:lineRule="exact"/>
              <w:jc w:val="both"/>
              <w:rPr>
                <w:sz w:val="21"/>
                <w:szCs w:val="21"/>
              </w:rPr>
            </w:pPr>
            <w:r>
              <w:rPr>
                <w:rStyle w:val="4"/>
                <w:rFonts w:hint="eastAsia"/>
                <w:sz w:val="21"/>
                <w:szCs w:val="21"/>
              </w:rPr>
              <w:t>181、</w:t>
            </w:r>
          </w:p>
        </w:tc>
        <w:tc>
          <w:tcPr>
            <w:tcW w:w="8546" w:type="dxa"/>
            <w:noWrap w:val="0"/>
            <w:vAlign w:val="top"/>
          </w:tcPr>
          <w:p>
            <w:pPr>
              <w:spacing w:line="320" w:lineRule="exact"/>
              <w:jc w:val="both"/>
              <w:rPr>
                <w:sz w:val="21"/>
                <w:szCs w:val="21"/>
              </w:rPr>
            </w:pPr>
            <w:r>
              <w:rPr>
                <w:rStyle w:val="4"/>
                <w:rFonts w:hint="eastAsia"/>
                <w:sz w:val="21"/>
                <w:szCs w:val="21"/>
              </w:rPr>
              <w:t>【专业与安全知识】安装在（）出口 ，一旦被拉分成两节后， 在节的端头具有自密封功能的阀门，叫拉断阀。  答案：C</w:t>
            </w:r>
          </w:p>
        </w:tc>
      </w:tr>
      <w:tr>
        <w:tblPrEx>
          <w:tblCellMar>
            <w:top w:w="0" w:type="dxa"/>
            <w:left w:w="0" w:type="dxa"/>
            <w:bottom w:w="0" w:type="dxa"/>
            <w:right w:w="0" w:type="dxa"/>
          </w:tblCellMar>
        </w:tblPrEx>
        <w:trPr>
          <w:tblCellSpacing w:w="0" w:type="dxa"/>
        </w:trPr>
        <w:tc>
          <w:tcPr>
            <w:tcW w:w="525" w:type="dxa"/>
            <w:noWrap w:val="0"/>
            <w:vAlign w:val="top"/>
          </w:tcPr>
          <w:p>
            <w:pPr>
              <w:spacing w:line="320" w:lineRule="exact"/>
              <w:jc w:val="both"/>
              <w:rPr>
                <w:sz w:val="21"/>
                <w:szCs w:val="21"/>
              </w:rPr>
            </w:pPr>
          </w:p>
        </w:tc>
        <w:tc>
          <w:tcPr>
            <w:tcW w:w="8546" w:type="dxa"/>
            <w:noWrap w:val="0"/>
            <w:vAlign w:val="top"/>
          </w:tcPr>
          <w:p>
            <w:pPr>
              <w:spacing w:line="320" w:lineRule="exact"/>
              <w:jc w:val="both"/>
              <w:rPr>
                <w:sz w:val="21"/>
                <w:szCs w:val="21"/>
              </w:rPr>
            </w:pPr>
            <w:r>
              <w:rPr>
                <w:rStyle w:val="4"/>
                <w:rFonts w:hint="eastAsia"/>
                <w:sz w:val="21"/>
                <w:szCs w:val="21"/>
              </w:rPr>
              <w:t xml:space="preserve">    A、充装枪；   B、气瓶；   C、加气机；   D、快速切断阀 </w:t>
            </w:r>
          </w:p>
        </w:tc>
      </w:tr>
      <w:tr>
        <w:tblPrEx>
          <w:tblCellMar>
            <w:top w:w="0" w:type="dxa"/>
            <w:left w:w="0" w:type="dxa"/>
            <w:bottom w:w="0" w:type="dxa"/>
            <w:right w:w="0" w:type="dxa"/>
          </w:tblCellMar>
        </w:tblPrEx>
        <w:trPr>
          <w:tblCellSpacing w:w="0" w:type="dxa"/>
        </w:trPr>
        <w:tc>
          <w:tcPr>
            <w:tcW w:w="525" w:type="dxa"/>
            <w:noWrap w:val="0"/>
            <w:vAlign w:val="top"/>
          </w:tcPr>
          <w:p>
            <w:pPr>
              <w:spacing w:line="320" w:lineRule="exact"/>
              <w:jc w:val="both"/>
              <w:rPr>
                <w:sz w:val="21"/>
                <w:szCs w:val="21"/>
              </w:rPr>
            </w:pPr>
            <w:r>
              <w:rPr>
                <w:rStyle w:val="4"/>
                <w:rFonts w:hint="eastAsia"/>
                <w:sz w:val="21"/>
                <w:szCs w:val="21"/>
              </w:rPr>
              <w:t>182、</w:t>
            </w:r>
          </w:p>
        </w:tc>
        <w:tc>
          <w:tcPr>
            <w:tcW w:w="8546" w:type="dxa"/>
            <w:noWrap w:val="0"/>
            <w:vAlign w:val="top"/>
          </w:tcPr>
          <w:p>
            <w:pPr>
              <w:spacing w:line="320" w:lineRule="exact"/>
              <w:jc w:val="both"/>
              <w:rPr>
                <w:sz w:val="21"/>
                <w:szCs w:val="21"/>
              </w:rPr>
            </w:pPr>
            <w:r>
              <w:rPr>
                <w:rStyle w:val="4"/>
                <w:rFonts w:hint="eastAsia"/>
                <w:sz w:val="21"/>
                <w:szCs w:val="21"/>
              </w:rPr>
              <w:t>【专业与安全知识】把作业场所和工作岗位存在的危险因素如实告知从业人员，会有负面影响，引起恐慌，增加思想负担，不利于安全生产。（ ）  答案：B</w:t>
            </w:r>
          </w:p>
        </w:tc>
      </w:tr>
      <w:tr>
        <w:tblPrEx>
          <w:tblCellMar>
            <w:top w:w="0" w:type="dxa"/>
            <w:left w:w="0" w:type="dxa"/>
            <w:bottom w:w="0" w:type="dxa"/>
            <w:right w:w="0" w:type="dxa"/>
          </w:tblCellMar>
        </w:tblPrEx>
        <w:trPr>
          <w:tblCellSpacing w:w="0" w:type="dxa"/>
        </w:trPr>
        <w:tc>
          <w:tcPr>
            <w:tcW w:w="525" w:type="dxa"/>
            <w:noWrap w:val="0"/>
            <w:vAlign w:val="top"/>
          </w:tcPr>
          <w:p>
            <w:pPr>
              <w:spacing w:line="320" w:lineRule="exact"/>
              <w:jc w:val="both"/>
              <w:rPr>
                <w:sz w:val="21"/>
                <w:szCs w:val="21"/>
              </w:rPr>
            </w:pPr>
          </w:p>
        </w:tc>
        <w:tc>
          <w:tcPr>
            <w:tcW w:w="8546" w:type="dxa"/>
            <w:noWrap w:val="0"/>
            <w:vAlign w:val="top"/>
          </w:tcPr>
          <w:p>
            <w:pPr>
              <w:spacing w:line="320" w:lineRule="exact"/>
              <w:jc w:val="both"/>
              <w:rPr>
                <w:sz w:val="21"/>
                <w:szCs w:val="21"/>
              </w:rPr>
            </w:pPr>
            <w:r>
              <w:rPr>
                <w:rStyle w:val="4"/>
                <w:rFonts w:hint="eastAsia"/>
                <w:sz w:val="21"/>
                <w:szCs w:val="21"/>
              </w:rPr>
              <w:t xml:space="preserve">    A、正确；   B、错误 </w:t>
            </w:r>
          </w:p>
        </w:tc>
      </w:tr>
      <w:tr>
        <w:tblPrEx>
          <w:tblCellMar>
            <w:top w:w="0" w:type="dxa"/>
            <w:left w:w="0" w:type="dxa"/>
            <w:bottom w:w="0" w:type="dxa"/>
            <w:right w:w="0" w:type="dxa"/>
          </w:tblCellMar>
        </w:tblPrEx>
        <w:trPr>
          <w:tblCellSpacing w:w="0" w:type="dxa"/>
        </w:trPr>
        <w:tc>
          <w:tcPr>
            <w:tcW w:w="525" w:type="dxa"/>
            <w:noWrap w:val="0"/>
            <w:vAlign w:val="top"/>
          </w:tcPr>
          <w:p>
            <w:pPr>
              <w:spacing w:line="320" w:lineRule="exact"/>
              <w:jc w:val="both"/>
              <w:rPr>
                <w:sz w:val="21"/>
                <w:szCs w:val="21"/>
              </w:rPr>
            </w:pPr>
            <w:r>
              <w:rPr>
                <w:rStyle w:val="4"/>
                <w:rFonts w:hint="eastAsia"/>
                <w:sz w:val="21"/>
                <w:szCs w:val="21"/>
              </w:rPr>
              <w:t>183、</w:t>
            </w:r>
          </w:p>
        </w:tc>
        <w:tc>
          <w:tcPr>
            <w:tcW w:w="8546" w:type="dxa"/>
            <w:noWrap w:val="0"/>
            <w:vAlign w:val="top"/>
          </w:tcPr>
          <w:p>
            <w:pPr>
              <w:spacing w:line="320" w:lineRule="exact"/>
              <w:jc w:val="both"/>
              <w:rPr>
                <w:sz w:val="21"/>
                <w:szCs w:val="21"/>
              </w:rPr>
            </w:pPr>
            <w:r>
              <w:rPr>
                <w:rStyle w:val="4"/>
                <w:rFonts w:hint="eastAsia"/>
                <w:sz w:val="21"/>
                <w:szCs w:val="21"/>
              </w:rPr>
              <w:t>【专业与安全知识】保护瓶帽、瓶阀或易熔塞免受撞击而设置的敞口屏罩式零件，不可兼作提升零件。（）  答案：B</w:t>
            </w:r>
          </w:p>
        </w:tc>
      </w:tr>
      <w:tr>
        <w:tblPrEx>
          <w:tblCellMar>
            <w:top w:w="0" w:type="dxa"/>
            <w:left w:w="0" w:type="dxa"/>
            <w:bottom w:w="0" w:type="dxa"/>
            <w:right w:w="0" w:type="dxa"/>
          </w:tblCellMar>
        </w:tblPrEx>
        <w:trPr>
          <w:tblCellSpacing w:w="0" w:type="dxa"/>
        </w:trPr>
        <w:tc>
          <w:tcPr>
            <w:tcW w:w="525" w:type="dxa"/>
            <w:noWrap w:val="0"/>
            <w:vAlign w:val="top"/>
          </w:tcPr>
          <w:p>
            <w:pPr>
              <w:spacing w:line="320" w:lineRule="exact"/>
              <w:jc w:val="both"/>
              <w:rPr>
                <w:sz w:val="21"/>
                <w:szCs w:val="21"/>
              </w:rPr>
            </w:pPr>
          </w:p>
        </w:tc>
        <w:tc>
          <w:tcPr>
            <w:tcW w:w="8546" w:type="dxa"/>
            <w:noWrap w:val="0"/>
            <w:vAlign w:val="top"/>
          </w:tcPr>
          <w:p>
            <w:pPr>
              <w:spacing w:line="320" w:lineRule="exact"/>
              <w:jc w:val="both"/>
              <w:rPr>
                <w:sz w:val="21"/>
                <w:szCs w:val="21"/>
              </w:rPr>
            </w:pPr>
            <w:r>
              <w:rPr>
                <w:rStyle w:val="4"/>
                <w:rFonts w:hint="eastAsia"/>
                <w:sz w:val="21"/>
                <w:szCs w:val="21"/>
              </w:rPr>
              <w:t xml:space="preserve">    A、 正确；   B、错误 </w:t>
            </w:r>
          </w:p>
        </w:tc>
      </w:tr>
      <w:tr>
        <w:tblPrEx>
          <w:tblCellMar>
            <w:top w:w="0" w:type="dxa"/>
            <w:left w:w="0" w:type="dxa"/>
            <w:bottom w:w="0" w:type="dxa"/>
            <w:right w:w="0" w:type="dxa"/>
          </w:tblCellMar>
        </w:tblPrEx>
        <w:trPr>
          <w:tblCellSpacing w:w="0" w:type="dxa"/>
        </w:trPr>
        <w:tc>
          <w:tcPr>
            <w:tcW w:w="525" w:type="dxa"/>
            <w:noWrap w:val="0"/>
            <w:vAlign w:val="top"/>
          </w:tcPr>
          <w:p>
            <w:pPr>
              <w:spacing w:line="320" w:lineRule="exact"/>
              <w:jc w:val="both"/>
              <w:rPr>
                <w:sz w:val="21"/>
                <w:szCs w:val="21"/>
              </w:rPr>
            </w:pPr>
            <w:r>
              <w:rPr>
                <w:rStyle w:val="4"/>
                <w:rFonts w:hint="eastAsia"/>
                <w:sz w:val="21"/>
                <w:szCs w:val="21"/>
              </w:rPr>
              <w:t>184、</w:t>
            </w:r>
          </w:p>
        </w:tc>
        <w:tc>
          <w:tcPr>
            <w:tcW w:w="8546" w:type="dxa"/>
            <w:noWrap w:val="0"/>
            <w:vAlign w:val="top"/>
          </w:tcPr>
          <w:p>
            <w:pPr>
              <w:spacing w:line="320" w:lineRule="exact"/>
              <w:jc w:val="both"/>
              <w:rPr>
                <w:sz w:val="21"/>
                <w:szCs w:val="21"/>
              </w:rPr>
            </w:pPr>
            <w:r>
              <w:rPr>
                <w:rStyle w:val="4"/>
                <w:rFonts w:hint="eastAsia"/>
                <w:sz w:val="21"/>
                <w:szCs w:val="21"/>
              </w:rPr>
              <w:t>【专业与安全知识】保证天然气的安全使用的技术措施中，最有效的是保证良好的通风。（）  答案：A</w:t>
            </w:r>
          </w:p>
        </w:tc>
      </w:tr>
      <w:tr>
        <w:tblPrEx>
          <w:tblCellMar>
            <w:top w:w="0" w:type="dxa"/>
            <w:left w:w="0" w:type="dxa"/>
            <w:bottom w:w="0" w:type="dxa"/>
            <w:right w:w="0" w:type="dxa"/>
          </w:tblCellMar>
        </w:tblPrEx>
        <w:trPr>
          <w:tblCellSpacing w:w="0" w:type="dxa"/>
        </w:trPr>
        <w:tc>
          <w:tcPr>
            <w:tcW w:w="525" w:type="dxa"/>
            <w:noWrap w:val="0"/>
            <w:vAlign w:val="top"/>
          </w:tcPr>
          <w:p>
            <w:pPr>
              <w:spacing w:line="320" w:lineRule="exact"/>
              <w:jc w:val="both"/>
              <w:rPr>
                <w:sz w:val="21"/>
                <w:szCs w:val="21"/>
              </w:rPr>
            </w:pPr>
          </w:p>
        </w:tc>
        <w:tc>
          <w:tcPr>
            <w:tcW w:w="8546" w:type="dxa"/>
            <w:noWrap w:val="0"/>
            <w:vAlign w:val="top"/>
          </w:tcPr>
          <w:p>
            <w:pPr>
              <w:spacing w:line="320" w:lineRule="exact"/>
              <w:jc w:val="both"/>
              <w:rPr>
                <w:sz w:val="21"/>
                <w:szCs w:val="21"/>
              </w:rPr>
            </w:pPr>
            <w:r>
              <w:rPr>
                <w:rStyle w:val="4"/>
                <w:rFonts w:hint="eastAsia"/>
                <w:sz w:val="21"/>
                <w:szCs w:val="21"/>
              </w:rPr>
              <w:t xml:space="preserve">    A、正确；   B、错误 </w:t>
            </w:r>
          </w:p>
        </w:tc>
      </w:tr>
      <w:tr>
        <w:tblPrEx>
          <w:tblCellMar>
            <w:top w:w="0" w:type="dxa"/>
            <w:left w:w="0" w:type="dxa"/>
            <w:bottom w:w="0" w:type="dxa"/>
            <w:right w:w="0" w:type="dxa"/>
          </w:tblCellMar>
        </w:tblPrEx>
        <w:trPr>
          <w:tblCellSpacing w:w="0" w:type="dxa"/>
        </w:trPr>
        <w:tc>
          <w:tcPr>
            <w:tcW w:w="525" w:type="dxa"/>
            <w:noWrap w:val="0"/>
            <w:vAlign w:val="top"/>
          </w:tcPr>
          <w:p>
            <w:pPr>
              <w:spacing w:line="320" w:lineRule="exact"/>
              <w:jc w:val="both"/>
              <w:rPr>
                <w:sz w:val="21"/>
                <w:szCs w:val="21"/>
              </w:rPr>
            </w:pPr>
            <w:r>
              <w:rPr>
                <w:rStyle w:val="4"/>
                <w:rFonts w:hint="eastAsia"/>
                <w:sz w:val="21"/>
                <w:szCs w:val="21"/>
              </w:rPr>
              <w:t>185、</w:t>
            </w:r>
          </w:p>
        </w:tc>
        <w:tc>
          <w:tcPr>
            <w:tcW w:w="8546" w:type="dxa"/>
            <w:noWrap w:val="0"/>
            <w:vAlign w:val="top"/>
          </w:tcPr>
          <w:p>
            <w:pPr>
              <w:spacing w:line="320" w:lineRule="exact"/>
              <w:jc w:val="both"/>
              <w:rPr>
                <w:sz w:val="21"/>
                <w:szCs w:val="21"/>
              </w:rPr>
            </w:pPr>
            <w:r>
              <w:rPr>
                <w:rStyle w:val="4"/>
                <w:rFonts w:hint="eastAsia"/>
                <w:sz w:val="21"/>
                <w:szCs w:val="21"/>
              </w:rPr>
              <w:t>【专业与安全知识】必须在气瓶产品合格证的明显位置上，注明制造单位的制造单位名称。（ ）  答案：B</w:t>
            </w:r>
          </w:p>
        </w:tc>
      </w:tr>
      <w:tr>
        <w:tblPrEx>
          <w:tblCellMar>
            <w:top w:w="0" w:type="dxa"/>
            <w:left w:w="0" w:type="dxa"/>
            <w:bottom w:w="0" w:type="dxa"/>
            <w:right w:w="0" w:type="dxa"/>
          </w:tblCellMar>
        </w:tblPrEx>
        <w:trPr>
          <w:tblCellSpacing w:w="0" w:type="dxa"/>
        </w:trPr>
        <w:tc>
          <w:tcPr>
            <w:tcW w:w="525" w:type="dxa"/>
            <w:noWrap w:val="0"/>
            <w:vAlign w:val="top"/>
          </w:tcPr>
          <w:p>
            <w:pPr>
              <w:spacing w:line="320" w:lineRule="exact"/>
              <w:jc w:val="both"/>
              <w:rPr>
                <w:sz w:val="21"/>
                <w:szCs w:val="21"/>
              </w:rPr>
            </w:pPr>
          </w:p>
        </w:tc>
        <w:tc>
          <w:tcPr>
            <w:tcW w:w="8546" w:type="dxa"/>
            <w:noWrap w:val="0"/>
            <w:vAlign w:val="top"/>
          </w:tcPr>
          <w:p>
            <w:pPr>
              <w:spacing w:line="320" w:lineRule="exact"/>
              <w:jc w:val="both"/>
              <w:rPr>
                <w:sz w:val="21"/>
                <w:szCs w:val="21"/>
              </w:rPr>
            </w:pPr>
            <w:r>
              <w:rPr>
                <w:rStyle w:val="4"/>
                <w:rFonts w:hint="eastAsia"/>
                <w:sz w:val="21"/>
                <w:szCs w:val="21"/>
              </w:rPr>
              <w:t xml:space="preserve">    A、正确；   B、错误 </w:t>
            </w:r>
          </w:p>
        </w:tc>
      </w:tr>
      <w:tr>
        <w:tblPrEx>
          <w:tblCellMar>
            <w:top w:w="0" w:type="dxa"/>
            <w:left w:w="0" w:type="dxa"/>
            <w:bottom w:w="0" w:type="dxa"/>
            <w:right w:w="0" w:type="dxa"/>
          </w:tblCellMar>
        </w:tblPrEx>
        <w:trPr>
          <w:tblCellSpacing w:w="0" w:type="dxa"/>
        </w:trPr>
        <w:tc>
          <w:tcPr>
            <w:tcW w:w="525" w:type="dxa"/>
            <w:noWrap w:val="0"/>
            <w:vAlign w:val="top"/>
          </w:tcPr>
          <w:p>
            <w:pPr>
              <w:spacing w:line="320" w:lineRule="exact"/>
              <w:jc w:val="both"/>
              <w:rPr>
                <w:sz w:val="21"/>
                <w:szCs w:val="21"/>
              </w:rPr>
            </w:pPr>
            <w:r>
              <w:rPr>
                <w:rStyle w:val="4"/>
                <w:rFonts w:hint="eastAsia"/>
                <w:sz w:val="21"/>
                <w:szCs w:val="21"/>
              </w:rPr>
              <w:t>186、</w:t>
            </w:r>
          </w:p>
        </w:tc>
        <w:tc>
          <w:tcPr>
            <w:tcW w:w="8546" w:type="dxa"/>
            <w:noWrap w:val="0"/>
            <w:vAlign w:val="top"/>
          </w:tcPr>
          <w:p>
            <w:pPr>
              <w:spacing w:line="320" w:lineRule="exact"/>
              <w:jc w:val="both"/>
              <w:rPr>
                <w:sz w:val="21"/>
                <w:szCs w:val="21"/>
              </w:rPr>
            </w:pPr>
            <w:r>
              <w:rPr>
                <w:rStyle w:val="4"/>
                <w:rFonts w:hint="eastAsia"/>
                <w:sz w:val="21"/>
                <w:szCs w:val="21"/>
              </w:rPr>
              <w:t>【专业与安全知识】标记应打在瓶肩或不可拆卸附件上，应尽量采用机械方法打印。（ ）  答案：A</w:t>
            </w:r>
          </w:p>
        </w:tc>
      </w:tr>
      <w:tr>
        <w:tblPrEx>
          <w:tblCellMar>
            <w:top w:w="0" w:type="dxa"/>
            <w:left w:w="0" w:type="dxa"/>
            <w:bottom w:w="0" w:type="dxa"/>
            <w:right w:w="0" w:type="dxa"/>
          </w:tblCellMar>
        </w:tblPrEx>
        <w:trPr>
          <w:tblCellSpacing w:w="0" w:type="dxa"/>
        </w:trPr>
        <w:tc>
          <w:tcPr>
            <w:tcW w:w="525" w:type="dxa"/>
            <w:noWrap w:val="0"/>
            <w:vAlign w:val="top"/>
          </w:tcPr>
          <w:p>
            <w:pPr>
              <w:spacing w:line="320" w:lineRule="exact"/>
              <w:jc w:val="both"/>
              <w:rPr>
                <w:sz w:val="21"/>
                <w:szCs w:val="21"/>
              </w:rPr>
            </w:pPr>
          </w:p>
        </w:tc>
        <w:tc>
          <w:tcPr>
            <w:tcW w:w="8546" w:type="dxa"/>
            <w:noWrap w:val="0"/>
            <w:vAlign w:val="top"/>
          </w:tcPr>
          <w:p>
            <w:pPr>
              <w:spacing w:line="320" w:lineRule="exact"/>
              <w:jc w:val="both"/>
              <w:rPr>
                <w:sz w:val="21"/>
                <w:szCs w:val="21"/>
              </w:rPr>
            </w:pPr>
            <w:r>
              <w:rPr>
                <w:rStyle w:val="4"/>
                <w:rFonts w:hint="eastAsia"/>
                <w:sz w:val="21"/>
                <w:szCs w:val="21"/>
              </w:rPr>
              <w:t xml:space="preserve">    A、正确；   B、错误 </w:t>
            </w:r>
          </w:p>
        </w:tc>
      </w:tr>
      <w:tr>
        <w:tblPrEx>
          <w:tblCellMar>
            <w:top w:w="0" w:type="dxa"/>
            <w:left w:w="0" w:type="dxa"/>
            <w:bottom w:w="0" w:type="dxa"/>
            <w:right w:w="0" w:type="dxa"/>
          </w:tblCellMar>
        </w:tblPrEx>
        <w:trPr>
          <w:tblCellSpacing w:w="0" w:type="dxa"/>
        </w:trPr>
        <w:tc>
          <w:tcPr>
            <w:tcW w:w="525" w:type="dxa"/>
            <w:noWrap w:val="0"/>
            <w:vAlign w:val="top"/>
          </w:tcPr>
          <w:p>
            <w:pPr>
              <w:spacing w:line="320" w:lineRule="exact"/>
              <w:jc w:val="both"/>
              <w:rPr>
                <w:sz w:val="21"/>
                <w:szCs w:val="21"/>
              </w:rPr>
            </w:pPr>
            <w:r>
              <w:rPr>
                <w:rStyle w:val="4"/>
                <w:rFonts w:hint="eastAsia"/>
                <w:sz w:val="21"/>
                <w:szCs w:val="21"/>
              </w:rPr>
              <w:t>187、</w:t>
            </w:r>
          </w:p>
        </w:tc>
        <w:tc>
          <w:tcPr>
            <w:tcW w:w="8546" w:type="dxa"/>
            <w:noWrap w:val="0"/>
            <w:vAlign w:val="top"/>
          </w:tcPr>
          <w:p>
            <w:pPr>
              <w:spacing w:line="320" w:lineRule="exact"/>
              <w:jc w:val="both"/>
              <w:rPr>
                <w:sz w:val="21"/>
                <w:szCs w:val="21"/>
              </w:rPr>
            </w:pPr>
            <w:r>
              <w:rPr>
                <w:rStyle w:val="4"/>
                <w:rFonts w:hint="eastAsia"/>
                <w:sz w:val="21"/>
                <w:szCs w:val="21"/>
              </w:rPr>
              <w:t>【专业与安全知识】不要将充装软管暴露在高温或低温环境中，不要将充装软管用于牵引或举升等用途。（）  答案：A</w:t>
            </w:r>
          </w:p>
        </w:tc>
      </w:tr>
      <w:tr>
        <w:tblPrEx>
          <w:tblCellMar>
            <w:top w:w="0" w:type="dxa"/>
            <w:left w:w="0" w:type="dxa"/>
            <w:bottom w:w="0" w:type="dxa"/>
            <w:right w:w="0" w:type="dxa"/>
          </w:tblCellMar>
        </w:tblPrEx>
        <w:trPr>
          <w:tblCellSpacing w:w="0" w:type="dxa"/>
        </w:trPr>
        <w:tc>
          <w:tcPr>
            <w:tcW w:w="525" w:type="dxa"/>
            <w:noWrap w:val="0"/>
            <w:vAlign w:val="top"/>
          </w:tcPr>
          <w:p>
            <w:pPr>
              <w:spacing w:line="320" w:lineRule="exact"/>
              <w:jc w:val="both"/>
              <w:rPr>
                <w:sz w:val="21"/>
                <w:szCs w:val="21"/>
              </w:rPr>
            </w:pPr>
          </w:p>
        </w:tc>
        <w:tc>
          <w:tcPr>
            <w:tcW w:w="8546" w:type="dxa"/>
            <w:noWrap w:val="0"/>
            <w:vAlign w:val="top"/>
          </w:tcPr>
          <w:p>
            <w:pPr>
              <w:spacing w:line="320" w:lineRule="exact"/>
              <w:jc w:val="both"/>
              <w:rPr>
                <w:sz w:val="21"/>
                <w:szCs w:val="21"/>
              </w:rPr>
            </w:pPr>
            <w:r>
              <w:rPr>
                <w:rStyle w:val="4"/>
                <w:rFonts w:hint="eastAsia"/>
                <w:sz w:val="21"/>
                <w:szCs w:val="21"/>
              </w:rPr>
              <w:t xml:space="preserve">    A、正确；   B、错误 </w:t>
            </w:r>
          </w:p>
        </w:tc>
      </w:tr>
      <w:tr>
        <w:tblPrEx>
          <w:tblCellMar>
            <w:top w:w="0" w:type="dxa"/>
            <w:left w:w="0" w:type="dxa"/>
            <w:bottom w:w="0" w:type="dxa"/>
            <w:right w:w="0" w:type="dxa"/>
          </w:tblCellMar>
        </w:tblPrEx>
        <w:trPr>
          <w:tblCellSpacing w:w="0" w:type="dxa"/>
        </w:trPr>
        <w:tc>
          <w:tcPr>
            <w:tcW w:w="525" w:type="dxa"/>
            <w:noWrap w:val="0"/>
            <w:vAlign w:val="top"/>
          </w:tcPr>
          <w:p>
            <w:pPr>
              <w:spacing w:line="320" w:lineRule="exact"/>
              <w:jc w:val="both"/>
              <w:rPr>
                <w:sz w:val="21"/>
                <w:szCs w:val="21"/>
              </w:rPr>
            </w:pPr>
            <w:r>
              <w:rPr>
                <w:rStyle w:val="4"/>
                <w:rFonts w:hint="eastAsia"/>
                <w:sz w:val="21"/>
                <w:szCs w:val="21"/>
              </w:rPr>
              <w:t>188、</w:t>
            </w:r>
          </w:p>
        </w:tc>
        <w:tc>
          <w:tcPr>
            <w:tcW w:w="8546" w:type="dxa"/>
            <w:noWrap w:val="0"/>
            <w:vAlign w:val="top"/>
          </w:tcPr>
          <w:p>
            <w:pPr>
              <w:spacing w:line="320" w:lineRule="exact"/>
              <w:jc w:val="both"/>
              <w:rPr>
                <w:sz w:val="21"/>
                <w:szCs w:val="21"/>
              </w:rPr>
            </w:pPr>
            <w:r>
              <w:rPr>
                <w:rStyle w:val="4"/>
                <w:rFonts w:hint="eastAsia"/>
                <w:sz w:val="21"/>
                <w:szCs w:val="21"/>
              </w:rPr>
              <w:t>【专业与安全知识】不要拧紧或拧松任何带压设备的零部件。（）  答案：A</w:t>
            </w:r>
          </w:p>
        </w:tc>
      </w:tr>
      <w:tr>
        <w:tblPrEx>
          <w:tblCellMar>
            <w:top w:w="0" w:type="dxa"/>
            <w:left w:w="0" w:type="dxa"/>
            <w:bottom w:w="0" w:type="dxa"/>
            <w:right w:w="0" w:type="dxa"/>
          </w:tblCellMar>
        </w:tblPrEx>
        <w:trPr>
          <w:tblCellSpacing w:w="0" w:type="dxa"/>
        </w:trPr>
        <w:tc>
          <w:tcPr>
            <w:tcW w:w="525" w:type="dxa"/>
            <w:noWrap w:val="0"/>
            <w:vAlign w:val="top"/>
          </w:tcPr>
          <w:p>
            <w:pPr>
              <w:spacing w:line="320" w:lineRule="exact"/>
              <w:jc w:val="both"/>
              <w:rPr>
                <w:sz w:val="21"/>
                <w:szCs w:val="21"/>
              </w:rPr>
            </w:pPr>
          </w:p>
        </w:tc>
        <w:tc>
          <w:tcPr>
            <w:tcW w:w="8546" w:type="dxa"/>
            <w:noWrap w:val="0"/>
            <w:vAlign w:val="top"/>
          </w:tcPr>
          <w:p>
            <w:pPr>
              <w:spacing w:line="320" w:lineRule="exact"/>
              <w:jc w:val="both"/>
              <w:rPr>
                <w:sz w:val="21"/>
                <w:szCs w:val="21"/>
              </w:rPr>
            </w:pPr>
            <w:r>
              <w:rPr>
                <w:rStyle w:val="4"/>
                <w:rFonts w:hint="eastAsia"/>
                <w:sz w:val="21"/>
                <w:szCs w:val="21"/>
              </w:rPr>
              <w:t xml:space="preserve">    A、正确；   B、错误 </w:t>
            </w:r>
          </w:p>
        </w:tc>
      </w:tr>
      <w:tr>
        <w:tblPrEx>
          <w:tblCellMar>
            <w:top w:w="0" w:type="dxa"/>
            <w:left w:w="0" w:type="dxa"/>
            <w:bottom w:w="0" w:type="dxa"/>
            <w:right w:w="0" w:type="dxa"/>
          </w:tblCellMar>
        </w:tblPrEx>
        <w:trPr>
          <w:tblCellSpacing w:w="0" w:type="dxa"/>
        </w:trPr>
        <w:tc>
          <w:tcPr>
            <w:tcW w:w="525" w:type="dxa"/>
            <w:noWrap w:val="0"/>
            <w:vAlign w:val="top"/>
          </w:tcPr>
          <w:p>
            <w:pPr>
              <w:spacing w:line="320" w:lineRule="exact"/>
              <w:jc w:val="both"/>
              <w:rPr>
                <w:sz w:val="21"/>
                <w:szCs w:val="21"/>
              </w:rPr>
            </w:pPr>
            <w:r>
              <w:rPr>
                <w:rStyle w:val="4"/>
                <w:rFonts w:hint="eastAsia"/>
                <w:sz w:val="21"/>
                <w:szCs w:val="21"/>
              </w:rPr>
              <w:t>189、</w:t>
            </w:r>
          </w:p>
        </w:tc>
        <w:tc>
          <w:tcPr>
            <w:tcW w:w="8546" w:type="dxa"/>
            <w:noWrap w:val="0"/>
            <w:vAlign w:val="top"/>
          </w:tcPr>
          <w:p>
            <w:pPr>
              <w:spacing w:line="320" w:lineRule="exact"/>
              <w:jc w:val="both"/>
              <w:rPr>
                <w:sz w:val="21"/>
                <w:szCs w:val="21"/>
              </w:rPr>
            </w:pPr>
            <w:r>
              <w:rPr>
                <w:rStyle w:val="4"/>
                <w:rFonts w:hint="eastAsia"/>
                <w:sz w:val="21"/>
                <w:szCs w:val="21"/>
              </w:rPr>
              <w:t>【专业与安全知识】不要扭曲、扭绞软管组件，不要试图去修理或重新连接已经损坏的充装软管。（）  答案：A</w:t>
            </w:r>
          </w:p>
        </w:tc>
      </w:tr>
      <w:tr>
        <w:tblPrEx>
          <w:tblCellMar>
            <w:top w:w="0" w:type="dxa"/>
            <w:left w:w="0" w:type="dxa"/>
            <w:bottom w:w="0" w:type="dxa"/>
            <w:right w:w="0" w:type="dxa"/>
          </w:tblCellMar>
        </w:tblPrEx>
        <w:trPr>
          <w:tblCellSpacing w:w="0" w:type="dxa"/>
        </w:trPr>
        <w:tc>
          <w:tcPr>
            <w:tcW w:w="525" w:type="dxa"/>
            <w:noWrap w:val="0"/>
            <w:vAlign w:val="top"/>
          </w:tcPr>
          <w:p>
            <w:pPr>
              <w:spacing w:line="320" w:lineRule="exact"/>
              <w:jc w:val="both"/>
              <w:rPr>
                <w:sz w:val="21"/>
                <w:szCs w:val="21"/>
              </w:rPr>
            </w:pPr>
          </w:p>
        </w:tc>
        <w:tc>
          <w:tcPr>
            <w:tcW w:w="8546" w:type="dxa"/>
            <w:noWrap w:val="0"/>
            <w:vAlign w:val="top"/>
          </w:tcPr>
          <w:p>
            <w:pPr>
              <w:spacing w:line="320" w:lineRule="exact"/>
              <w:jc w:val="both"/>
              <w:rPr>
                <w:sz w:val="21"/>
                <w:szCs w:val="21"/>
              </w:rPr>
            </w:pPr>
            <w:r>
              <w:rPr>
                <w:rStyle w:val="4"/>
                <w:rFonts w:hint="eastAsia"/>
                <w:sz w:val="21"/>
                <w:szCs w:val="21"/>
              </w:rPr>
              <w:t xml:space="preserve">    A、正确；   B、错误 </w:t>
            </w:r>
          </w:p>
        </w:tc>
      </w:tr>
      <w:tr>
        <w:tblPrEx>
          <w:tblCellMar>
            <w:top w:w="0" w:type="dxa"/>
            <w:left w:w="0" w:type="dxa"/>
            <w:bottom w:w="0" w:type="dxa"/>
            <w:right w:w="0" w:type="dxa"/>
          </w:tblCellMar>
        </w:tblPrEx>
        <w:trPr>
          <w:tblCellSpacing w:w="0" w:type="dxa"/>
        </w:trPr>
        <w:tc>
          <w:tcPr>
            <w:tcW w:w="525" w:type="dxa"/>
            <w:noWrap w:val="0"/>
            <w:vAlign w:val="top"/>
          </w:tcPr>
          <w:p>
            <w:pPr>
              <w:spacing w:line="320" w:lineRule="exact"/>
              <w:jc w:val="both"/>
              <w:rPr>
                <w:sz w:val="21"/>
                <w:szCs w:val="21"/>
              </w:rPr>
            </w:pPr>
            <w:r>
              <w:rPr>
                <w:rStyle w:val="4"/>
                <w:rFonts w:hint="eastAsia"/>
                <w:sz w:val="21"/>
                <w:szCs w:val="21"/>
              </w:rPr>
              <w:t>190、</w:t>
            </w:r>
          </w:p>
        </w:tc>
        <w:tc>
          <w:tcPr>
            <w:tcW w:w="8546" w:type="dxa"/>
            <w:noWrap w:val="0"/>
            <w:vAlign w:val="top"/>
          </w:tcPr>
          <w:p>
            <w:pPr>
              <w:spacing w:line="320" w:lineRule="exact"/>
              <w:jc w:val="both"/>
              <w:rPr>
                <w:sz w:val="21"/>
                <w:szCs w:val="21"/>
              </w:rPr>
            </w:pPr>
            <w:r>
              <w:rPr>
                <w:rStyle w:val="4"/>
                <w:rFonts w:hint="eastAsia"/>
                <w:sz w:val="21"/>
                <w:szCs w:val="21"/>
              </w:rPr>
              <w:t>【专业与安全知识】采用以液化石油气和（）为燃料的汽车，叫燃气汽车。  答案：C</w:t>
            </w:r>
          </w:p>
        </w:tc>
      </w:tr>
      <w:tr>
        <w:tblPrEx>
          <w:tblCellMar>
            <w:top w:w="0" w:type="dxa"/>
            <w:left w:w="0" w:type="dxa"/>
            <w:bottom w:w="0" w:type="dxa"/>
            <w:right w:w="0" w:type="dxa"/>
          </w:tblCellMar>
        </w:tblPrEx>
        <w:trPr>
          <w:tblCellSpacing w:w="0" w:type="dxa"/>
        </w:trPr>
        <w:tc>
          <w:tcPr>
            <w:tcW w:w="525" w:type="dxa"/>
            <w:noWrap w:val="0"/>
            <w:vAlign w:val="top"/>
          </w:tcPr>
          <w:p>
            <w:pPr>
              <w:spacing w:line="320" w:lineRule="exact"/>
              <w:jc w:val="both"/>
              <w:rPr>
                <w:sz w:val="21"/>
                <w:szCs w:val="21"/>
              </w:rPr>
            </w:pPr>
          </w:p>
        </w:tc>
        <w:tc>
          <w:tcPr>
            <w:tcW w:w="8546" w:type="dxa"/>
            <w:noWrap w:val="0"/>
            <w:vAlign w:val="top"/>
          </w:tcPr>
          <w:p>
            <w:pPr>
              <w:spacing w:line="320" w:lineRule="exact"/>
              <w:jc w:val="both"/>
              <w:rPr>
                <w:sz w:val="21"/>
                <w:szCs w:val="21"/>
              </w:rPr>
            </w:pPr>
            <w:r>
              <w:rPr>
                <w:rStyle w:val="4"/>
                <w:rFonts w:hint="eastAsia"/>
                <w:sz w:val="21"/>
                <w:szCs w:val="21"/>
              </w:rPr>
              <w:t xml:space="preserve">    A、煤气；   B、氧气；   C、压缩天然气；   D、氢气 </w:t>
            </w:r>
          </w:p>
        </w:tc>
      </w:tr>
      <w:tr>
        <w:tblPrEx>
          <w:tblCellMar>
            <w:top w:w="0" w:type="dxa"/>
            <w:left w:w="0" w:type="dxa"/>
            <w:bottom w:w="0" w:type="dxa"/>
            <w:right w:w="0" w:type="dxa"/>
          </w:tblCellMar>
        </w:tblPrEx>
        <w:trPr>
          <w:tblCellSpacing w:w="0" w:type="dxa"/>
        </w:trPr>
        <w:tc>
          <w:tcPr>
            <w:tcW w:w="525" w:type="dxa"/>
            <w:noWrap w:val="0"/>
            <w:vAlign w:val="top"/>
          </w:tcPr>
          <w:p>
            <w:pPr>
              <w:spacing w:line="320" w:lineRule="exact"/>
              <w:jc w:val="both"/>
              <w:rPr>
                <w:sz w:val="21"/>
                <w:szCs w:val="21"/>
              </w:rPr>
            </w:pPr>
            <w:r>
              <w:rPr>
                <w:rStyle w:val="4"/>
                <w:rFonts w:hint="eastAsia"/>
                <w:sz w:val="21"/>
                <w:szCs w:val="21"/>
              </w:rPr>
              <w:t>191、</w:t>
            </w:r>
          </w:p>
        </w:tc>
        <w:tc>
          <w:tcPr>
            <w:tcW w:w="8546" w:type="dxa"/>
            <w:noWrap w:val="0"/>
            <w:vAlign w:val="top"/>
          </w:tcPr>
          <w:p>
            <w:pPr>
              <w:spacing w:line="320" w:lineRule="exact"/>
              <w:jc w:val="both"/>
              <w:rPr>
                <w:sz w:val="21"/>
                <w:szCs w:val="21"/>
              </w:rPr>
            </w:pPr>
            <w:r>
              <w:rPr>
                <w:rStyle w:val="4"/>
                <w:rFonts w:hint="eastAsia"/>
                <w:sz w:val="21"/>
                <w:szCs w:val="21"/>
              </w:rPr>
              <w:t>【专业与安全知识】常规站的三级操作系统是指加气站上的储气瓶分成高压、中压、低压三组，所以称为三级操作系统。（）  答案：A</w:t>
            </w:r>
          </w:p>
        </w:tc>
      </w:tr>
      <w:tr>
        <w:tblPrEx>
          <w:tblCellMar>
            <w:top w:w="0" w:type="dxa"/>
            <w:left w:w="0" w:type="dxa"/>
            <w:bottom w:w="0" w:type="dxa"/>
            <w:right w:w="0" w:type="dxa"/>
          </w:tblCellMar>
        </w:tblPrEx>
        <w:trPr>
          <w:tblCellSpacing w:w="0" w:type="dxa"/>
        </w:trPr>
        <w:tc>
          <w:tcPr>
            <w:tcW w:w="525" w:type="dxa"/>
            <w:noWrap w:val="0"/>
            <w:vAlign w:val="top"/>
          </w:tcPr>
          <w:p>
            <w:pPr>
              <w:spacing w:line="320" w:lineRule="exact"/>
              <w:jc w:val="both"/>
              <w:rPr>
                <w:sz w:val="21"/>
                <w:szCs w:val="21"/>
              </w:rPr>
            </w:pPr>
          </w:p>
        </w:tc>
        <w:tc>
          <w:tcPr>
            <w:tcW w:w="8546" w:type="dxa"/>
            <w:noWrap w:val="0"/>
            <w:vAlign w:val="top"/>
          </w:tcPr>
          <w:p>
            <w:pPr>
              <w:spacing w:line="320" w:lineRule="exact"/>
              <w:jc w:val="both"/>
              <w:rPr>
                <w:sz w:val="21"/>
                <w:szCs w:val="21"/>
              </w:rPr>
            </w:pPr>
            <w:r>
              <w:rPr>
                <w:rStyle w:val="4"/>
                <w:rFonts w:hint="eastAsia"/>
                <w:sz w:val="21"/>
                <w:szCs w:val="21"/>
              </w:rPr>
              <w:t xml:space="preserve">    A、正确；   B、错误 </w:t>
            </w:r>
          </w:p>
        </w:tc>
      </w:tr>
      <w:tr>
        <w:tblPrEx>
          <w:tblCellMar>
            <w:top w:w="0" w:type="dxa"/>
            <w:left w:w="0" w:type="dxa"/>
            <w:bottom w:w="0" w:type="dxa"/>
            <w:right w:w="0" w:type="dxa"/>
          </w:tblCellMar>
        </w:tblPrEx>
        <w:trPr>
          <w:tblCellSpacing w:w="0" w:type="dxa"/>
        </w:trPr>
        <w:tc>
          <w:tcPr>
            <w:tcW w:w="525" w:type="dxa"/>
            <w:noWrap w:val="0"/>
            <w:vAlign w:val="top"/>
          </w:tcPr>
          <w:p>
            <w:pPr>
              <w:spacing w:line="320" w:lineRule="exact"/>
              <w:jc w:val="both"/>
              <w:rPr>
                <w:sz w:val="21"/>
                <w:szCs w:val="21"/>
              </w:rPr>
            </w:pPr>
            <w:r>
              <w:rPr>
                <w:rStyle w:val="4"/>
                <w:rFonts w:hint="eastAsia"/>
                <w:sz w:val="21"/>
                <w:szCs w:val="21"/>
              </w:rPr>
              <w:t>192、</w:t>
            </w:r>
          </w:p>
        </w:tc>
        <w:tc>
          <w:tcPr>
            <w:tcW w:w="8546" w:type="dxa"/>
            <w:noWrap w:val="0"/>
            <w:vAlign w:val="top"/>
          </w:tcPr>
          <w:p>
            <w:pPr>
              <w:spacing w:line="320" w:lineRule="exact"/>
              <w:jc w:val="both"/>
              <w:rPr>
                <w:sz w:val="21"/>
                <w:szCs w:val="21"/>
              </w:rPr>
            </w:pPr>
            <w:r>
              <w:rPr>
                <w:rStyle w:val="4"/>
                <w:rFonts w:hint="eastAsia"/>
                <w:sz w:val="21"/>
                <w:szCs w:val="21"/>
              </w:rPr>
              <w:t>【专业与安全知识】常用的湿法脱硫按溶液的吸收和再生方式，可分为（）。  答案：ABC</w:t>
            </w:r>
          </w:p>
        </w:tc>
      </w:tr>
      <w:tr>
        <w:tblPrEx>
          <w:tblCellMar>
            <w:top w:w="0" w:type="dxa"/>
            <w:left w:w="0" w:type="dxa"/>
            <w:bottom w:w="0" w:type="dxa"/>
            <w:right w:w="0" w:type="dxa"/>
          </w:tblCellMar>
        </w:tblPrEx>
        <w:trPr>
          <w:tblCellSpacing w:w="0" w:type="dxa"/>
        </w:trPr>
        <w:tc>
          <w:tcPr>
            <w:tcW w:w="525" w:type="dxa"/>
            <w:noWrap w:val="0"/>
            <w:vAlign w:val="top"/>
          </w:tcPr>
          <w:p>
            <w:pPr>
              <w:spacing w:line="320" w:lineRule="exact"/>
              <w:jc w:val="both"/>
              <w:rPr>
                <w:sz w:val="21"/>
                <w:szCs w:val="21"/>
              </w:rPr>
            </w:pPr>
          </w:p>
        </w:tc>
        <w:tc>
          <w:tcPr>
            <w:tcW w:w="8546" w:type="dxa"/>
            <w:noWrap w:val="0"/>
            <w:vAlign w:val="top"/>
          </w:tcPr>
          <w:p>
            <w:pPr>
              <w:spacing w:line="320" w:lineRule="exact"/>
              <w:jc w:val="both"/>
              <w:rPr>
                <w:sz w:val="21"/>
                <w:szCs w:val="21"/>
              </w:rPr>
            </w:pPr>
            <w:r>
              <w:rPr>
                <w:rStyle w:val="4"/>
                <w:rFonts w:hint="eastAsia"/>
                <w:sz w:val="21"/>
                <w:szCs w:val="21"/>
              </w:rPr>
              <w:t xml:space="preserve">    A、化学吸收法；   B、物理吸收法；   C、氧化还原法；   D、转换法 </w:t>
            </w:r>
          </w:p>
        </w:tc>
      </w:tr>
      <w:tr>
        <w:tblPrEx>
          <w:tblCellMar>
            <w:top w:w="0" w:type="dxa"/>
            <w:left w:w="0" w:type="dxa"/>
            <w:bottom w:w="0" w:type="dxa"/>
            <w:right w:w="0" w:type="dxa"/>
          </w:tblCellMar>
        </w:tblPrEx>
        <w:trPr>
          <w:tblCellSpacing w:w="0" w:type="dxa"/>
        </w:trPr>
        <w:tc>
          <w:tcPr>
            <w:tcW w:w="525" w:type="dxa"/>
            <w:noWrap w:val="0"/>
            <w:vAlign w:val="top"/>
          </w:tcPr>
          <w:p>
            <w:pPr>
              <w:spacing w:line="320" w:lineRule="exact"/>
              <w:jc w:val="both"/>
              <w:rPr>
                <w:sz w:val="21"/>
                <w:szCs w:val="21"/>
              </w:rPr>
            </w:pPr>
            <w:r>
              <w:rPr>
                <w:rStyle w:val="4"/>
                <w:rFonts w:hint="eastAsia"/>
                <w:sz w:val="21"/>
                <w:szCs w:val="21"/>
              </w:rPr>
              <w:t>193、</w:t>
            </w:r>
          </w:p>
        </w:tc>
        <w:tc>
          <w:tcPr>
            <w:tcW w:w="8546" w:type="dxa"/>
            <w:noWrap w:val="0"/>
            <w:vAlign w:val="top"/>
          </w:tcPr>
          <w:p>
            <w:pPr>
              <w:spacing w:line="320" w:lineRule="exact"/>
              <w:jc w:val="both"/>
              <w:rPr>
                <w:sz w:val="21"/>
                <w:szCs w:val="21"/>
              </w:rPr>
            </w:pPr>
            <w:r>
              <w:rPr>
                <w:rStyle w:val="4"/>
                <w:rFonts w:hint="eastAsia"/>
                <w:sz w:val="21"/>
                <w:szCs w:val="21"/>
              </w:rPr>
              <w:t>【专业与安全知识】车辆进 出站口宜分开设置。（）  答案：A</w:t>
            </w:r>
          </w:p>
        </w:tc>
      </w:tr>
      <w:tr>
        <w:tblPrEx>
          <w:tblCellMar>
            <w:top w:w="0" w:type="dxa"/>
            <w:left w:w="0" w:type="dxa"/>
            <w:bottom w:w="0" w:type="dxa"/>
            <w:right w:w="0" w:type="dxa"/>
          </w:tblCellMar>
        </w:tblPrEx>
        <w:trPr>
          <w:tblCellSpacing w:w="0" w:type="dxa"/>
        </w:trPr>
        <w:tc>
          <w:tcPr>
            <w:tcW w:w="525" w:type="dxa"/>
            <w:noWrap w:val="0"/>
            <w:vAlign w:val="top"/>
          </w:tcPr>
          <w:p>
            <w:pPr>
              <w:spacing w:line="320" w:lineRule="exact"/>
              <w:jc w:val="both"/>
              <w:rPr>
                <w:sz w:val="21"/>
                <w:szCs w:val="21"/>
              </w:rPr>
            </w:pPr>
          </w:p>
        </w:tc>
        <w:tc>
          <w:tcPr>
            <w:tcW w:w="8546" w:type="dxa"/>
            <w:noWrap w:val="0"/>
            <w:vAlign w:val="top"/>
          </w:tcPr>
          <w:p>
            <w:pPr>
              <w:spacing w:line="320" w:lineRule="exact"/>
              <w:jc w:val="both"/>
              <w:rPr>
                <w:sz w:val="21"/>
                <w:szCs w:val="21"/>
              </w:rPr>
            </w:pPr>
            <w:r>
              <w:rPr>
                <w:rStyle w:val="4"/>
                <w:rFonts w:hint="eastAsia"/>
                <w:sz w:val="21"/>
                <w:szCs w:val="21"/>
              </w:rPr>
              <w:t xml:space="preserve">    A、正确；   B、错误 </w:t>
            </w:r>
          </w:p>
        </w:tc>
      </w:tr>
      <w:tr>
        <w:tblPrEx>
          <w:tblCellMar>
            <w:top w:w="0" w:type="dxa"/>
            <w:left w:w="0" w:type="dxa"/>
            <w:bottom w:w="0" w:type="dxa"/>
            <w:right w:w="0" w:type="dxa"/>
          </w:tblCellMar>
        </w:tblPrEx>
        <w:trPr>
          <w:tblCellSpacing w:w="0" w:type="dxa"/>
        </w:trPr>
        <w:tc>
          <w:tcPr>
            <w:tcW w:w="525" w:type="dxa"/>
            <w:noWrap w:val="0"/>
            <w:vAlign w:val="top"/>
          </w:tcPr>
          <w:p>
            <w:pPr>
              <w:spacing w:line="320" w:lineRule="exact"/>
              <w:jc w:val="both"/>
              <w:rPr>
                <w:sz w:val="21"/>
                <w:szCs w:val="21"/>
              </w:rPr>
            </w:pPr>
            <w:r>
              <w:rPr>
                <w:rStyle w:val="4"/>
                <w:rFonts w:hint="eastAsia"/>
                <w:sz w:val="21"/>
                <w:szCs w:val="21"/>
              </w:rPr>
              <w:t>194、</w:t>
            </w:r>
          </w:p>
        </w:tc>
        <w:tc>
          <w:tcPr>
            <w:tcW w:w="8546" w:type="dxa"/>
            <w:noWrap w:val="0"/>
            <w:vAlign w:val="top"/>
          </w:tcPr>
          <w:p>
            <w:pPr>
              <w:spacing w:line="320" w:lineRule="exact"/>
              <w:jc w:val="both"/>
              <w:rPr>
                <w:sz w:val="21"/>
                <w:szCs w:val="21"/>
              </w:rPr>
            </w:pPr>
            <w:r>
              <w:rPr>
                <w:rStyle w:val="4"/>
                <w:rFonts w:hint="eastAsia"/>
                <w:sz w:val="21"/>
                <w:szCs w:val="21"/>
              </w:rPr>
              <w:t>【专业与安全知识】车辆可带客进站进行充装的。  答案：B</w:t>
            </w:r>
          </w:p>
        </w:tc>
      </w:tr>
      <w:tr>
        <w:tblPrEx>
          <w:tblCellMar>
            <w:top w:w="0" w:type="dxa"/>
            <w:left w:w="0" w:type="dxa"/>
            <w:bottom w:w="0" w:type="dxa"/>
            <w:right w:w="0" w:type="dxa"/>
          </w:tblCellMar>
        </w:tblPrEx>
        <w:trPr>
          <w:tblCellSpacing w:w="0" w:type="dxa"/>
        </w:trPr>
        <w:tc>
          <w:tcPr>
            <w:tcW w:w="525" w:type="dxa"/>
            <w:noWrap w:val="0"/>
            <w:vAlign w:val="top"/>
          </w:tcPr>
          <w:p>
            <w:pPr>
              <w:spacing w:line="320" w:lineRule="exact"/>
              <w:jc w:val="both"/>
              <w:rPr>
                <w:sz w:val="21"/>
                <w:szCs w:val="21"/>
              </w:rPr>
            </w:pPr>
          </w:p>
        </w:tc>
        <w:tc>
          <w:tcPr>
            <w:tcW w:w="8546" w:type="dxa"/>
            <w:noWrap w:val="0"/>
            <w:vAlign w:val="top"/>
          </w:tcPr>
          <w:p>
            <w:pPr>
              <w:spacing w:line="320" w:lineRule="exact"/>
              <w:jc w:val="both"/>
              <w:rPr>
                <w:sz w:val="21"/>
                <w:szCs w:val="21"/>
              </w:rPr>
            </w:pPr>
            <w:r>
              <w:rPr>
                <w:rStyle w:val="4"/>
                <w:rFonts w:hint="eastAsia"/>
                <w:sz w:val="21"/>
                <w:szCs w:val="21"/>
              </w:rPr>
              <w:t xml:space="preserve">    A、对；   B、错 </w:t>
            </w:r>
          </w:p>
        </w:tc>
      </w:tr>
      <w:tr>
        <w:tblPrEx>
          <w:tblCellMar>
            <w:top w:w="0" w:type="dxa"/>
            <w:left w:w="0" w:type="dxa"/>
            <w:bottom w:w="0" w:type="dxa"/>
            <w:right w:w="0" w:type="dxa"/>
          </w:tblCellMar>
        </w:tblPrEx>
        <w:trPr>
          <w:tblCellSpacing w:w="0" w:type="dxa"/>
        </w:trPr>
        <w:tc>
          <w:tcPr>
            <w:tcW w:w="525" w:type="dxa"/>
            <w:noWrap w:val="0"/>
            <w:vAlign w:val="top"/>
          </w:tcPr>
          <w:p>
            <w:pPr>
              <w:spacing w:line="320" w:lineRule="exact"/>
              <w:jc w:val="both"/>
              <w:rPr>
                <w:sz w:val="21"/>
                <w:szCs w:val="21"/>
              </w:rPr>
            </w:pPr>
            <w:r>
              <w:rPr>
                <w:rStyle w:val="4"/>
                <w:rFonts w:hint="eastAsia"/>
                <w:sz w:val="21"/>
                <w:szCs w:val="21"/>
              </w:rPr>
              <w:t>195、</w:t>
            </w:r>
          </w:p>
        </w:tc>
        <w:tc>
          <w:tcPr>
            <w:tcW w:w="8546" w:type="dxa"/>
            <w:noWrap w:val="0"/>
            <w:vAlign w:val="top"/>
          </w:tcPr>
          <w:p>
            <w:pPr>
              <w:spacing w:line="320" w:lineRule="exact"/>
              <w:jc w:val="both"/>
              <w:rPr>
                <w:sz w:val="21"/>
                <w:szCs w:val="21"/>
              </w:rPr>
            </w:pPr>
            <w:r>
              <w:rPr>
                <w:rStyle w:val="4"/>
                <w:rFonts w:hint="eastAsia"/>
                <w:sz w:val="21"/>
                <w:szCs w:val="21"/>
              </w:rPr>
              <w:t>【专业与安全知识】车用压缩天然气钢瓶的检验周期是（ ）。  答案：C</w:t>
            </w:r>
          </w:p>
        </w:tc>
      </w:tr>
      <w:tr>
        <w:tblPrEx>
          <w:tblCellMar>
            <w:top w:w="0" w:type="dxa"/>
            <w:left w:w="0" w:type="dxa"/>
            <w:bottom w:w="0" w:type="dxa"/>
            <w:right w:w="0" w:type="dxa"/>
          </w:tblCellMar>
        </w:tblPrEx>
        <w:trPr>
          <w:tblCellSpacing w:w="0" w:type="dxa"/>
        </w:trPr>
        <w:tc>
          <w:tcPr>
            <w:tcW w:w="525" w:type="dxa"/>
            <w:noWrap w:val="0"/>
            <w:vAlign w:val="top"/>
          </w:tcPr>
          <w:p>
            <w:pPr>
              <w:spacing w:line="320" w:lineRule="exact"/>
              <w:jc w:val="both"/>
              <w:rPr>
                <w:sz w:val="21"/>
                <w:szCs w:val="21"/>
              </w:rPr>
            </w:pPr>
          </w:p>
        </w:tc>
        <w:tc>
          <w:tcPr>
            <w:tcW w:w="8546" w:type="dxa"/>
            <w:noWrap w:val="0"/>
            <w:vAlign w:val="top"/>
          </w:tcPr>
          <w:p>
            <w:pPr>
              <w:spacing w:line="320" w:lineRule="exact"/>
              <w:jc w:val="both"/>
              <w:rPr>
                <w:sz w:val="21"/>
                <w:szCs w:val="21"/>
              </w:rPr>
            </w:pPr>
            <w:r>
              <w:rPr>
                <w:rStyle w:val="4"/>
                <w:rFonts w:hint="eastAsia"/>
                <w:sz w:val="21"/>
                <w:szCs w:val="21"/>
              </w:rPr>
              <w:t xml:space="preserve">    A、 每6年一次；   B、每5年一次；   C、每3年一次；   D、每4年一次 </w:t>
            </w:r>
          </w:p>
        </w:tc>
      </w:tr>
    </w:tbl>
    <w:p/>
    <w:p>
      <w:pPr>
        <w:spacing w:before="120" w:beforeLines="50" w:after="240" w:afterLines="100" w:line="320" w:lineRule="exact"/>
        <w:jc w:val="left"/>
        <w:rPr>
          <w:rFonts w:hint="default" w:cs="宋体"/>
          <w:b w:val="0"/>
          <w:bCs/>
          <w:color w:val="auto"/>
          <w:sz w:val="21"/>
          <w:szCs w:val="21"/>
          <w:lang w:val="en-US" w:eastAsia="zh-CN"/>
        </w:rPr>
      </w:pPr>
      <w:r>
        <w:rPr>
          <w:rFonts w:hint="eastAsia" w:cs="宋体"/>
          <w:b w:val="0"/>
          <w:bCs/>
          <w:color w:val="auto"/>
          <w:sz w:val="21"/>
          <w:szCs w:val="21"/>
          <w:lang w:val="en-US" w:eastAsia="zh-CN"/>
        </w:rPr>
        <w:t>二、简答分析题（共2题，</w:t>
      </w:r>
      <w:r>
        <w:rPr>
          <w:rFonts w:hint="eastAsia" w:ascii="宋体" w:hAnsi="宋体" w:eastAsia="宋体" w:cs="宋体"/>
          <w:b w:val="0"/>
          <w:bCs/>
          <w:color w:val="auto"/>
          <w:sz w:val="21"/>
          <w:szCs w:val="21"/>
          <w:lang w:val="en-US" w:eastAsia="zh-CN"/>
        </w:rPr>
        <w:t>共20分</w:t>
      </w:r>
      <w:r>
        <w:rPr>
          <w:rFonts w:hint="eastAsia" w:cs="宋体"/>
          <w:b w:val="0"/>
          <w:bCs/>
          <w:color w:val="auto"/>
          <w:sz w:val="21"/>
          <w:szCs w:val="21"/>
          <w:lang w:val="en-US" w:eastAsia="zh-CN"/>
        </w:rPr>
        <w:t>）</w:t>
      </w:r>
    </w:p>
    <w:p>
      <w:pPr>
        <w:rPr>
          <w:rFonts w:hint="eastAsia"/>
          <w:sz w:val="21"/>
          <w:szCs w:val="21"/>
          <w:lang w:val="en-US" w:eastAsia="zh-CN"/>
        </w:rPr>
      </w:pPr>
      <w:r>
        <w:rPr>
          <w:rFonts w:hint="eastAsia"/>
          <w:sz w:val="21"/>
          <w:szCs w:val="21"/>
          <w:lang w:val="en-US" w:eastAsia="zh-CN"/>
        </w:rPr>
        <w:t>1、11月22日9时33分，山西省朔州市中煤平朔集团有限公司井工三矿发生一起事故致4人死亡。据悉，事故发生时，井下1名工人擅自进入一处回采工作面辅运巷正在施工的闭墙，导致窒息晕倒，另外3名工人在进入闭墙施救过程中晕倒，4人送医后经抢救无效死亡。</w:t>
      </w:r>
    </w:p>
    <w:p>
      <w:pPr>
        <w:rPr>
          <w:rFonts w:hint="eastAsia"/>
          <w:sz w:val="21"/>
          <w:szCs w:val="21"/>
          <w:lang w:val="en-US" w:eastAsia="zh-CN"/>
        </w:rPr>
      </w:pPr>
      <w:r>
        <w:rPr>
          <w:rFonts w:hint="eastAsia"/>
          <w:sz w:val="21"/>
          <w:szCs w:val="21"/>
          <w:lang w:val="en-US" w:eastAsia="zh-CN"/>
        </w:rPr>
        <w:t>问：简述受限空间作业应急处理措施（5分）。</w:t>
      </w:r>
    </w:p>
    <w:p>
      <w:pPr>
        <w:rPr>
          <w:rFonts w:hint="eastAsia"/>
          <w:sz w:val="21"/>
          <w:szCs w:val="21"/>
          <w:lang w:val="en-US" w:eastAsia="zh-CN"/>
        </w:rPr>
      </w:pPr>
    </w:p>
    <w:p>
      <w:pPr>
        <w:rPr>
          <w:rFonts w:hint="eastAsia"/>
          <w:sz w:val="21"/>
          <w:szCs w:val="21"/>
          <w:lang w:val="en-US" w:eastAsia="zh-CN"/>
        </w:rPr>
      </w:pPr>
    </w:p>
    <w:p>
      <w:pPr>
        <w:rPr>
          <w:rFonts w:hint="eastAsia"/>
          <w:sz w:val="21"/>
          <w:szCs w:val="21"/>
          <w:lang w:val="en-US" w:eastAsia="zh-CN"/>
        </w:rPr>
      </w:pPr>
    </w:p>
    <w:p>
      <w:pPr>
        <w:rPr>
          <w:rFonts w:hint="eastAsia"/>
          <w:sz w:val="21"/>
          <w:szCs w:val="21"/>
          <w:lang w:val="en-US" w:eastAsia="zh-CN"/>
        </w:rPr>
      </w:pPr>
    </w:p>
    <w:p>
      <w:pPr>
        <w:rPr>
          <w:rFonts w:hint="eastAsia"/>
          <w:sz w:val="21"/>
          <w:szCs w:val="21"/>
          <w:lang w:val="en-US" w:eastAsia="zh-CN"/>
        </w:rPr>
      </w:pPr>
      <w:bookmarkStart w:id="0" w:name="_GoBack"/>
      <w:bookmarkEnd w:id="0"/>
    </w:p>
    <w:p>
      <w:pPr>
        <w:rPr>
          <w:rFonts w:hint="eastAsia"/>
          <w:sz w:val="21"/>
          <w:szCs w:val="21"/>
          <w:lang w:val="en-US" w:eastAsia="zh-CN"/>
        </w:rPr>
      </w:pPr>
    </w:p>
    <w:p>
      <w:pPr>
        <w:rPr>
          <w:rFonts w:hint="eastAsia"/>
          <w:sz w:val="21"/>
          <w:szCs w:val="21"/>
          <w:lang w:val="en-US" w:eastAsia="zh-CN"/>
        </w:rPr>
      </w:pPr>
    </w:p>
    <w:p>
      <w:pPr>
        <w:rPr>
          <w:rFonts w:hint="eastAsia"/>
          <w:sz w:val="21"/>
          <w:szCs w:val="21"/>
          <w:lang w:val="en-US" w:eastAsia="zh-CN"/>
        </w:rPr>
      </w:pPr>
    </w:p>
    <w:p>
      <w:pPr>
        <w:rPr>
          <w:rFonts w:hint="eastAsia"/>
          <w:sz w:val="21"/>
          <w:szCs w:val="21"/>
          <w:lang w:val="en-US" w:eastAsia="zh-CN"/>
        </w:rPr>
      </w:pPr>
    </w:p>
    <w:p>
      <w:pPr>
        <w:rPr>
          <w:rFonts w:hint="eastAsia"/>
          <w:sz w:val="21"/>
          <w:szCs w:val="21"/>
          <w:lang w:val="en-US" w:eastAsia="zh-CN"/>
        </w:rPr>
      </w:pPr>
    </w:p>
    <w:p>
      <w:pPr>
        <w:rPr>
          <w:rFonts w:hint="default"/>
          <w:sz w:val="21"/>
          <w:szCs w:val="21"/>
          <w:lang w:val="en-US" w:eastAsia="zh-CN"/>
        </w:rPr>
      </w:pPr>
      <w:r>
        <w:rPr>
          <w:rFonts w:hint="eastAsia"/>
          <w:sz w:val="21"/>
          <w:szCs w:val="21"/>
          <w:lang w:val="en-US" w:eastAsia="zh-CN"/>
        </w:rPr>
        <w:t>2、画出</w:t>
      </w:r>
      <w:r>
        <w:rPr>
          <w:rFonts w:hint="eastAsia" w:ascii="宋体" w:hAnsi="宋体" w:eastAsia="宋体" w:cs="宋体"/>
          <w:sz w:val="21"/>
          <w:szCs w:val="21"/>
          <w:lang w:val="en-US" w:eastAsia="zh-CN"/>
        </w:rPr>
        <w:t>LNG运行图</w:t>
      </w:r>
      <w:r>
        <w:rPr>
          <w:rFonts w:hint="eastAsia" w:cs="宋体"/>
          <w:sz w:val="21"/>
          <w:szCs w:val="21"/>
          <w:lang w:val="en-US" w:eastAsia="zh-CN"/>
        </w:rPr>
        <w:t>，</w:t>
      </w:r>
      <w:r>
        <w:rPr>
          <w:rFonts w:hint="eastAsia" w:ascii="宋体" w:hAnsi="宋体" w:eastAsia="宋体" w:cs="宋体"/>
          <w:sz w:val="21"/>
          <w:szCs w:val="21"/>
          <w:lang w:val="en-US" w:eastAsia="zh-CN"/>
        </w:rPr>
        <w:t>并简要介绍加气、卸液流程</w:t>
      </w:r>
      <w:r>
        <w:rPr>
          <w:rFonts w:hint="eastAsia"/>
          <w:sz w:val="21"/>
          <w:szCs w:val="21"/>
          <w:lang w:val="en-US" w:eastAsia="zh-CN"/>
        </w:rPr>
        <w:t>（15分）</w:t>
      </w:r>
      <w:r>
        <w:rPr>
          <w:rFonts w:hint="eastAsia" w:cs="宋体"/>
          <w:sz w:val="21"/>
          <w:szCs w:val="21"/>
          <w:lang w:val="en-US" w:eastAsia="zh-CN"/>
        </w:rPr>
        <w:t>。</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A0NDNiZjlkZTYyMWUwMDEzOTVkZTBhOTU5N2UwODMifQ=="/>
  </w:docVars>
  <w:rsids>
    <w:rsidRoot w:val="33C513C3"/>
    <w:rsid w:val="03917B3D"/>
    <w:rsid w:val="116E0688"/>
    <w:rsid w:val="1C427076"/>
    <w:rsid w:val="1D3E783E"/>
    <w:rsid w:val="1DC31AF1"/>
    <w:rsid w:val="32D305D1"/>
    <w:rsid w:val="33C513C3"/>
    <w:rsid w:val="43136EE9"/>
    <w:rsid w:val="5762594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rPr>
      <w:rFonts w:ascii="宋体" w:hAnsi="宋体" w:eastAsia="宋体" w:cs="宋体"/>
      <w:sz w:val="24"/>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character" w:customStyle="1" w:styleId="4">
    <w:name w:val="style17"/>
    <w:basedOn w:val="3"/>
    <w:qFormat/>
    <w:uiPriority w:val="0"/>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2597</Words>
  <Characters>2671</Characters>
  <Lines>0</Lines>
  <Paragraphs>0</Paragraphs>
  <TotalTime>0</TotalTime>
  <ScaleCrop>false</ScaleCrop>
  <LinksUpToDate>false</LinksUpToDate>
  <CharactersWithSpaces>3157</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2022-11-28T00:07:00Z</dcterms:created>
  <dc:creator>陈雄杰</dc:creator>
  <cp:lastModifiedBy>陈雄杰</cp:lastModifiedBy>
  <dcterms:modified xsi:type="dcterms:W3CDTF">2022-11-28T03:15:12Z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0FC499DAEDC44DF19DBF42E0F0F96B14</vt:lpwstr>
  </property>
</Properties>
</file>