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_Toc517262917"/>
      <w:bookmarkStart w:id="1" w:name="_Toc481801204"/>
      <w:bookmarkStart w:id="2" w:name="_Toc415143481"/>
      <w:bookmarkStart w:id="3" w:name="_Toc415818939"/>
      <w:bookmarkStart w:id="4" w:name="OLE_LINK13"/>
      <w:bookmarkStart w:id="5" w:name="OLE_LINK40"/>
      <w:bookmarkStart w:id="6" w:name="_Toc415142861"/>
      <w:bookmarkStart w:id="7" w:name="OLE_LINK39"/>
      <w:bookmarkStart w:id="8" w:name="OLE_LINK24"/>
      <w:bookmarkStart w:id="9" w:name="_Toc438987549"/>
      <w:bookmarkStart w:id="10" w:name="_Toc453597319"/>
      <w:bookmarkStart w:id="11" w:name="_Toc418070112"/>
      <w:bookmarkStart w:id="12" w:name="OLE_LINK15"/>
      <w:r>
        <w:rPr>
          <w:lang w:eastAsia="zh-CN"/>
        </w:rPr>
        <w:t>质子交换膜燃料电池双极板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cs="Calibri"/>
          <w:lang w:val="en-US" w:eastAsia="zh-CN"/>
        </w:rPr>
        <w:drawing>
          <wp:inline distT="0" distB="0" distL="0" distR="0">
            <wp:extent cx="4484370" cy="2485390"/>
            <wp:effectExtent l="0" t="0" r="0" b="0"/>
            <wp:docPr id="24" name="图片 24" descr="Dana showcasing fuel cell technology for public transportation systems at  Hannover Messe - Green Car Cong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Dana showcasing fuel cell technology for public transportation systems at  Hannover Messe - Green Car Congres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4370" cy="248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hint="eastAsia"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据QYResearch调研团队最新报告“全球质子交换膜燃料电池双极板市场报告2023-2029”显示，预计2029年全球质子交换膜燃料电池双极板市场规模将达到10.7亿美元，未来几年年复合增长率CAGR为10.6%。</w:t>
      </w:r>
    </w:p>
    <w:p>
      <w:pPr>
        <w:pStyle w:val="148"/>
        <w:rPr>
          <w:lang w:eastAsia="zh-CN"/>
        </w:rPr>
      </w:pPr>
      <w:r>
        <w:rPr>
          <w:lang w:eastAsia="zh-CN"/>
        </w:rPr>
        <w:t>质子交换膜燃料电池双极板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4943475" cy="28860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质子交换膜燃料电池双极板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质子交换膜燃料电池双极板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21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rPr>
          <w:lang w:val="en-US" w:eastAsia="zh-CN"/>
        </w:rP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如上图表/数据，摘自QYResearch报告“全球质子交换膜燃料电池双极板市场研究报告2023-2029，排名基于2022数据。目前最新数据，以本公司最新调研数据为准。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全球范围内质子交换膜燃料电池双极板生产商主要包括Dana、Ballard、Schunk Group、Cell Impact、ElringKlinger、Guangdong Nation-Synergy、Shanghai Hongfeng、Dongguan Jiecheng、LEADTECH International、FJ Composite等。2022年，全球前十强厂商占有大约56.0%的市场份额。</w:t>
      </w:r>
    </w:p>
    <w:p>
      <w:pPr>
        <w:pStyle w:val="145"/>
        <w:rPr>
          <w:lang w:eastAsia="zh-CN"/>
        </w:rPr>
      </w:pPr>
    </w:p>
    <w:bookmarkEnd w:id="13"/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D7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A9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5A3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897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9D1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40644;&#39062;&#29747;\1&#26376;\1.5&#40644;&#39062;&#29747;\Bipolar%20Plates%20for%20PEM%20Fuel%20Cells%20&#36136;&#23376;&#20132;&#25442;&#33180;&#29123;&#26009;&#30005;&#27744;&#21452;&#26497;&#26495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企业排序!$F$2:$F$22</c:f>
              <c:strCache>
                <c:ptCount val="21"/>
                <c:pt idx="0">
                  <c:v>Zhejiang Harog</c:v>
                </c:pt>
                <c:pt idx="1">
                  <c:v>SGL Carbon</c:v>
                </c:pt>
                <c:pt idx="2">
                  <c:v>Hunan Zenpon</c:v>
                </c:pt>
                <c:pt idx="3">
                  <c:v>Shenzhen Jiayu</c:v>
                </c:pt>
                <c:pt idx="4">
                  <c:v>Shanghai Yoogle</c:v>
                </c:pt>
                <c:pt idx="5">
                  <c:v>Shanghai Zhizhen</c:v>
                </c:pt>
                <c:pt idx="6">
                  <c:v>Anhui Mingtian</c:v>
                </c:pt>
                <c:pt idx="7">
                  <c:v>Shanghai Shenli</c:v>
                </c:pt>
                <c:pt idx="8">
                  <c:v>VinaTech (Ace Creation)</c:v>
                </c:pt>
                <c:pt idx="9">
                  <c:v>Shanghai Hongjun</c:v>
                </c:pt>
                <c:pt idx="10">
                  <c:v>Nisshinbo</c:v>
                </c:pt>
                <c:pt idx="11">
                  <c:v>FJ Composite</c:v>
                </c:pt>
                <c:pt idx="12">
                  <c:v>LEADTECH International</c:v>
                </c:pt>
                <c:pt idx="13">
                  <c:v>Dongguan Jiecheng</c:v>
                </c:pt>
                <c:pt idx="14">
                  <c:v>Shanghai Hongfeng</c:v>
                </c:pt>
                <c:pt idx="15">
                  <c:v>Guangdong Nation-Synergy</c:v>
                </c:pt>
                <c:pt idx="16">
                  <c:v>ElringKlinger</c:v>
                </c:pt>
                <c:pt idx="17">
                  <c:v>Cell Impact</c:v>
                </c:pt>
                <c:pt idx="18">
                  <c:v>Schunk Group</c:v>
                </c:pt>
                <c:pt idx="19">
                  <c:v>Ballard</c:v>
                </c:pt>
                <c:pt idx="20">
                  <c:v>Dana</c:v>
                </c:pt>
              </c:strCache>
            </c:strRef>
          </c:cat>
          <c:val>
            <c:numRef>
              <c:f>企业排序!$G$2:$G$22</c:f>
              <c:numCache>
                <c:formatCode>#,##0.00_ </c:formatCode>
                <c:ptCount val="21"/>
                <c:pt idx="0">
                  <c:v>3.19</c:v>
                </c:pt>
                <c:pt idx="1">
                  <c:v>3.2</c:v>
                </c:pt>
                <c:pt idx="2">
                  <c:v>4.66</c:v>
                </c:pt>
                <c:pt idx="3">
                  <c:v>6.94</c:v>
                </c:pt>
                <c:pt idx="4">
                  <c:v>8.22</c:v>
                </c:pt>
                <c:pt idx="5">
                  <c:v>10.47</c:v>
                </c:pt>
                <c:pt idx="6">
                  <c:v>11.75</c:v>
                </c:pt>
                <c:pt idx="7">
                  <c:v>16.68</c:v>
                </c:pt>
                <c:pt idx="8">
                  <c:v>17.52</c:v>
                </c:pt>
                <c:pt idx="9">
                  <c:v>17.54</c:v>
                </c:pt>
                <c:pt idx="10">
                  <c:v>17.76</c:v>
                </c:pt>
                <c:pt idx="11">
                  <c:v>18.51</c:v>
                </c:pt>
                <c:pt idx="12">
                  <c:v>18.63</c:v>
                </c:pt>
                <c:pt idx="13">
                  <c:v>18.89</c:v>
                </c:pt>
                <c:pt idx="14">
                  <c:v>19.76</c:v>
                </c:pt>
                <c:pt idx="15">
                  <c:v>22.21</c:v>
                </c:pt>
                <c:pt idx="16">
                  <c:v>27.42</c:v>
                </c:pt>
                <c:pt idx="17">
                  <c:v>31.33</c:v>
                </c:pt>
                <c:pt idx="18">
                  <c:v>32.28</c:v>
                </c:pt>
                <c:pt idx="19">
                  <c:v>35.2</c:v>
                </c:pt>
                <c:pt idx="20">
                  <c:v>76.96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58FE5D-C859-4B72-BE85-EEBE3265B5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168</Words>
  <Characters>958</Characters>
  <Lines>7</Lines>
  <Paragraphs>2</Paragraphs>
  <TotalTime>638</TotalTime>
  <ScaleCrop>false</ScaleCrop>
  <LinksUpToDate>false</LinksUpToDate>
  <CharactersWithSpaces>1124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2024-01-17T07:31:20Z</dcterms:modified>
  <cp:revision>801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4269FF5054E340C89EA189DD9DA7153A_13</vt:lpwstr>
  </property>
</Properties>
</file>