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bCs w:val="0"/>
          <w:i w:val="0"/>
          <w:iCs w:val="0"/>
          <w:caps w:val="0"/>
          <w:color w:val="121212"/>
          <w:spacing w:val="0"/>
          <w:sz w:val="28"/>
          <w:szCs w:val="28"/>
          <w:shd w:val="clear" w:fill="FFFFFF"/>
        </w:rPr>
      </w:pPr>
      <w:r>
        <w:rPr>
          <w:rFonts w:hint="eastAsia" w:ascii="宋体" w:hAnsi="宋体" w:eastAsia="宋体" w:cs="宋体"/>
          <w:b w:val="0"/>
          <w:bCs w:val="0"/>
          <w:i w:val="0"/>
          <w:iCs w:val="0"/>
          <w:caps w:val="0"/>
          <w:color w:val="121212"/>
          <w:spacing w:val="0"/>
          <w:sz w:val="28"/>
          <w:szCs w:val="28"/>
          <w:shd w:val="clear" w:fill="FFFFFF"/>
        </w:rPr>
        <w:t>GH3230</w:t>
      </w:r>
    </w:p>
    <w:p>
      <w:pPr>
        <w:rPr>
          <w:rFonts w:hint="eastAsia" w:ascii="宋体" w:hAnsi="宋体" w:eastAsia="宋体" w:cs="宋体"/>
          <w:b/>
          <w:bCs/>
          <w:i w:val="0"/>
          <w:iCs w:val="0"/>
          <w:caps w:val="0"/>
          <w:color w:val="666666"/>
          <w:spacing w:val="0"/>
          <w:sz w:val="28"/>
          <w:szCs w:val="28"/>
          <w:shd w:val="clear" w:fill="FCFCFC"/>
          <w:lang w:val="en-US" w:eastAsia="zh-CN"/>
        </w:rPr>
      </w:pPr>
      <w:r>
        <w:rPr>
          <w:rFonts w:hint="eastAsia" w:ascii="宋体" w:hAnsi="宋体" w:eastAsia="宋体" w:cs="宋体"/>
          <w:b/>
          <w:bCs/>
          <w:i w:val="0"/>
          <w:iCs w:val="0"/>
          <w:caps w:val="0"/>
          <w:color w:val="666666"/>
          <w:spacing w:val="0"/>
          <w:sz w:val="28"/>
          <w:szCs w:val="28"/>
          <w:shd w:val="clear" w:fill="FCFCFC"/>
          <w:lang w:val="en-US" w:eastAsia="zh-CN"/>
        </w:rPr>
        <w:t>乾福//金属//材料//供应//洽谈//①⑦⑦//④⑨⑦//⑦②②//⑧⑥</w:t>
      </w:r>
    </w:p>
    <w:p>
      <w:pPr>
        <w:pStyle w:val="3"/>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t>GH3230 合金是一种以 W、Mo 元素作为固溶强化和以碳化物作为第二相强化的镍基高温合金。该固溶强化镍基合金源于 Ni-Cr-Mo–W 合金系统，合金中的 Ni 元素提供稳定的奥氏体基体和通过添加 Cr、Mo、W、C、B 来增加合金的高温强度和腐蚀抗力。通过添加 W 元素含量以进行有效地固溶强化，通过添加 C 促进富 Cr 的M23C6 碳化物的形成，M23C6 碳化物在奥氏体基体和退火孪晶界的析出对位错的钉扎以提高合金的蠕变强度，该合金加入 La 提高其抗氧化性，用 B 进行晶界强化，使合金兼具良好的强度、热稳定性和抗腐蚀性。该合金膨胀系数小，部件热应力小，易于加工和焊接，在氧化气氛下的长期使用温度可达到 1150℃</w:t>
      </w:r>
    </w:p>
    <w:p>
      <w:pPr>
        <w:pStyle w:val="3"/>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shd w:val="clear" w:fill="FFFFFF"/>
        </w:rPr>
      </w:pPr>
      <w:r>
        <w:rPr>
          <w:rFonts w:hint="eastAsia" w:ascii="宋体" w:hAnsi="宋体" w:eastAsia="宋体" w:cs="宋体"/>
          <w:i w:val="0"/>
          <w:iCs w:val="0"/>
          <w:caps w:val="0"/>
          <w:color w:val="121212"/>
          <w:spacing w:val="0"/>
          <w:sz w:val="28"/>
          <w:szCs w:val="28"/>
          <w:shd w:val="clear" w:fill="FFFFFF"/>
        </w:rPr>
        <w:t>航空航天发动机燃烧室工作温度可达 1100 ℃以上，要求燃烧室材料具有良好的高温强度、抗氧化性能，以及组织热稳定性，GH3230 合金用于发动机燃烧室法兰等关键部位。 该合金相对传统燃烧室用合金有以下突破和改进： 以 W、Mo 元素复合强化代替 W 元素的单一强化， 提高了固溶强化效果；通过La 元素的微合金化提高了合金的高温持久性能和高温抗氧化性能；合金中大量的 M6C 碳化物在 Ni 基体中具有良好的热稳定性， 在起到高温强化作用的同时提高了合金组织的热稳定性。</w:t>
      </w:r>
    </w:p>
    <w:p>
      <w:pPr>
        <w:pStyle w:val="3"/>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000000"/>
          <w:spacing w:val="0"/>
          <w:sz w:val="28"/>
          <w:szCs w:val="28"/>
        </w:rPr>
      </w:pPr>
      <w:r>
        <w:rPr>
          <w:rFonts w:hint="eastAsia" w:ascii="宋体" w:hAnsi="宋体" w:eastAsia="宋体" w:cs="宋体"/>
          <w:b/>
          <w:bCs/>
          <w:i w:val="0"/>
          <w:iCs w:val="0"/>
          <w:caps w:val="0"/>
          <w:color w:val="000000"/>
          <w:spacing w:val="0"/>
          <w:kern w:val="0"/>
          <w:sz w:val="28"/>
          <w:szCs w:val="28"/>
          <w:lang w:val="en-US" w:eastAsia="zh-CN" w:bidi="ar"/>
        </w:rPr>
        <w:drawing>
          <wp:inline distT="0" distB="0" distL="114300" distR="114300">
            <wp:extent cx="5266690" cy="3950335"/>
            <wp:effectExtent l="0" t="0" r="10160" b="12065"/>
            <wp:docPr id="1" name="图片 1"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2"/>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r>
        <w:rPr>
          <w:rFonts w:hint="eastAsia" w:ascii="宋体" w:hAnsi="宋体" w:eastAsia="宋体" w:cs="宋体"/>
          <w:b/>
          <w:bCs/>
          <w:i w:val="0"/>
          <w:iCs w:val="0"/>
          <w:caps w:val="0"/>
          <w:color w:val="000000"/>
          <w:spacing w:val="0"/>
          <w:kern w:val="0"/>
          <w:sz w:val="28"/>
          <w:szCs w:val="28"/>
          <w:lang w:val="en-US" w:eastAsia="zh-CN" w:bidi="ar"/>
        </w:rPr>
        <w:t>GH3230化学成分:</w:t>
      </w:r>
    </w:p>
    <w:tbl>
      <w:tblPr>
        <w:tblStyle w:val="4"/>
        <w:tblW w:w="0" w:type="auto"/>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160"/>
        <w:gridCol w:w="1300"/>
        <w:gridCol w:w="1440"/>
        <w:gridCol w:w="900"/>
        <w:gridCol w:w="1020"/>
        <w:gridCol w:w="78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碳C</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硅Si</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锰Mn</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磷P</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liu S</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铬Cr</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0.5-0.15</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0.25-0.75</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0.3-1.0</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≤0.03</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≤0.015 </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20-24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镍Ni</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钼Mo</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La</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铜Cu</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铁Fe</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铌Nb</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余</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1-3</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0.005-0.05</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≤0.50 </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≤3.00</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硼B</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钛Ti:</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铝Al</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钒 V</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钨W</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铈Ce</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12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≤0.015</w:t>
            </w:r>
          </w:p>
        </w:tc>
        <w:tc>
          <w:tcPr>
            <w:tcW w:w="124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≤0.10</w:t>
            </w:r>
          </w:p>
        </w:tc>
        <w:tc>
          <w:tcPr>
            <w:tcW w:w="13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0.2-0.5</w:t>
            </w:r>
          </w:p>
        </w:tc>
        <w:tc>
          <w:tcPr>
            <w:tcW w:w="90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w:t>
            </w:r>
          </w:p>
        </w:tc>
        <w:tc>
          <w:tcPr>
            <w:tcW w:w="1005"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13-15</w:t>
            </w:r>
          </w:p>
        </w:tc>
        <w:tc>
          <w:tcPr>
            <w:tcW w:w="780" w:type="dxa"/>
            <w:tcBorders>
              <w:top w:val="outset" w:color="auto" w:sz="8" w:space="0"/>
              <w:left w:val="outset" w:color="auto" w:sz="8" w:space="0"/>
              <w:bottom w:val="outset" w:color="auto" w:sz="8" w:space="0"/>
              <w:right w:val="outset"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sz w:val="28"/>
                <w:szCs w:val="28"/>
              </w:rPr>
            </w:pPr>
            <w:r>
              <w:rPr>
                <w:rFonts w:hint="eastAsia" w:ascii="宋体" w:hAnsi="宋体" w:eastAsia="宋体" w:cs="宋体"/>
                <w:i w:val="0"/>
                <w:iCs w:val="0"/>
                <w:caps w:val="0"/>
                <w:color w:val="000000"/>
                <w:spacing w:val="0"/>
                <w:kern w:val="0"/>
                <w:sz w:val="28"/>
                <w:szCs w:val="28"/>
                <w:lang w:val="en-US" w:eastAsia="zh-CN" w:bidi="ar"/>
              </w:rPr>
              <w:t>~</w:t>
            </w:r>
          </w:p>
        </w:tc>
      </w:tr>
    </w:tbl>
    <w:p>
      <w:pPr>
        <w:rPr>
          <w:rFonts w:hint="eastAsia" w:ascii="宋体" w:hAnsi="宋体" w:eastAsia="宋体" w:cs="宋体"/>
          <w:b/>
          <w:bCs/>
          <w:i w:val="0"/>
          <w:iCs w:val="0"/>
          <w:caps w:val="0"/>
          <w:color w:val="666666"/>
          <w:spacing w:val="0"/>
          <w:sz w:val="28"/>
          <w:szCs w:val="28"/>
          <w:shd w:val="clear" w:fill="FCFCFC"/>
          <w:lang w:val="en-US" w:eastAsia="zh-CN"/>
        </w:rPr>
      </w:pPr>
      <w:r>
        <w:rPr>
          <w:rFonts w:hint="eastAsia" w:ascii="宋体" w:hAnsi="宋体" w:eastAsia="宋体" w:cs="宋体"/>
          <w:b/>
          <w:bCs/>
          <w:i w:val="0"/>
          <w:iCs w:val="0"/>
          <w:caps w:val="0"/>
          <w:color w:val="666666"/>
          <w:spacing w:val="0"/>
          <w:sz w:val="28"/>
          <w:szCs w:val="28"/>
          <w:shd w:val="clear" w:fill="FCFCFC"/>
          <w:lang w:val="en-US" w:eastAsia="zh-CN"/>
        </w:rPr>
        <w:t>乾福//金属//材料//供应//洽谈//①⑦⑦//④⑨⑦//⑦②②//⑧⑥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bdr w:val="none" w:color="auto" w:sz="0" w:space="0"/>
          <w:shd w:val="clear" w:fill="FFFFFF"/>
        </w:rPr>
        <w:t>GH3230技术标准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333333"/>
          <w:spacing w:val="8"/>
          <w:sz w:val="28"/>
          <w:szCs w:val="28"/>
        </w:rPr>
      </w:pPr>
      <w:bookmarkStart w:id="0" w:name="_GoBack"/>
      <w:r>
        <w:rPr>
          <w:rFonts w:hint="eastAsia" w:ascii="宋体" w:hAnsi="宋体" w:eastAsia="宋体" w:cs="宋体"/>
          <w:i w:val="0"/>
          <w:iCs w:val="0"/>
          <w:caps w:val="0"/>
          <w:color w:val="333333"/>
          <w:spacing w:val="8"/>
          <w:sz w:val="28"/>
          <w:szCs w:val="28"/>
          <w:bdr w:val="none" w:color="auto" w:sz="0" w:space="0"/>
          <w:shd w:val="clear" w:fill="FFFFFF"/>
        </w:rPr>
        <w:t>QJ/DT 0160044</w:t>
      </w:r>
      <w:bookmarkEnd w:id="0"/>
      <w:r>
        <w:rPr>
          <w:rFonts w:hint="eastAsia" w:ascii="宋体" w:hAnsi="宋体" w:eastAsia="宋体" w:cs="宋体"/>
          <w:i w:val="0"/>
          <w:iCs w:val="0"/>
          <w:caps w:val="0"/>
          <w:color w:val="333333"/>
          <w:spacing w:val="8"/>
          <w:sz w:val="28"/>
          <w:szCs w:val="28"/>
          <w:bdr w:val="none" w:color="auto" w:sz="0" w:space="0"/>
          <w:shd w:val="clear" w:fill="FFFFFF"/>
        </w:rPr>
        <w:t>航空发动机用GH230板材、带材技术条件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宋体" w:hAnsi="宋体" w:eastAsia="宋体" w:cs="宋体"/>
          <w:i w:val="0"/>
          <w:iCs w:val="0"/>
          <w:caps w:val="0"/>
          <w:color w:val="333333"/>
          <w:spacing w:val="8"/>
          <w:sz w:val="28"/>
          <w:szCs w:val="28"/>
        </w:rPr>
      </w:pPr>
      <w:r>
        <w:rPr>
          <w:rFonts w:hint="eastAsia" w:ascii="宋体" w:hAnsi="宋体" w:eastAsia="宋体" w:cs="宋体"/>
          <w:i w:val="0"/>
          <w:iCs w:val="0"/>
          <w:caps w:val="0"/>
          <w:color w:val="333333"/>
          <w:spacing w:val="8"/>
          <w:sz w:val="28"/>
          <w:szCs w:val="28"/>
          <w:bdr w:val="none" w:color="auto" w:sz="0" w:space="0"/>
          <w:shd w:val="clear" w:fill="FFFFFF"/>
        </w:rPr>
        <w:t>Q/GYB 05062 GH3230合金冷轧薄板和带材</w:t>
      </w:r>
    </w:p>
    <w:p>
      <w:pPr>
        <w:pStyle w:val="2"/>
        <w:keepNext w:val="0"/>
        <w:keepLines w:val="0"/>
        <w:widowControl/>
        <w:suppressLineNumbers w:val="0"/>
        <w:shd w:val="clear" w:fill="FFFFFF"/>
        <w:spacing w:line="23" w:lineRule="atLeast"/>
        <w:ind w:left="0" w:firstLine="0"/>
        <w:rPr>
          <w:rFonts w:hint="eastAsia" w:ascii="宋体" w:hAnsi="宋体" w:eastAsia="宋体" w:cs="宋体"/>
          <w:b/>
          <w:bCs/>
          <w:i w:val="0"/>
          <w:iCs w:val="0"/>
          <w:caps w:val="0"/>
          <w:color w:val="121212"/>
          <w:spacing w:val="0"/>
          <w:sz w:val="28"/>
          <w:szCs w:val="28"/>
        </w:rPr>
      </w:pPr>
      <w:r>
        <w:rPr>
          <w:rFonts w:hint="eastAsia" w:ascii="宋体" w:hAnsi="宋体" w:eastAsia="宋体" w:cs="宋体"/>
          <w:i w:val="0"/>
          <w:iCs w:val="0"/>
          <w:caps w:val="0"/>
          <w:color w:val="121212"/>
          <w:spacing w:val="0"/>
          <w:sz w:val="28"/>
          <w:szCs w:val="28"/>
          <w:shd w:val="clear" w:fill="FFFFFF"/>
        </w:rPr>
        <w:drawing>
          <wp:inline distT="0" distB="0" distL="114300" distR="114300">
            <wp:extent cx="5266690" cy="7022465"/>
            <wp:effectExtent l="0" t="0" r="10160" b="6985"/>
            <wp:docPr id="2" name="图片 2" descr="高温合金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温合金8"/>
                    <pic:cNvPicPr>
                      <a:picLocks noChangeAspect="1"/>
                    </pic:cNvPicPr>
                  </pic:nvPicPr>
                  <pic:blipFill>
                    <a:blip r:embed="rId5"/>
                    <a:stretch>
                      <a:fillRect/>
                    </a:stretch>
                  </pic:blipFill>
                  <pic:spPr>
                    <a:xfrm>
                      <a:off x="0" y="0"/>
                      <a:ext cx="5266690" cy="7022465"/>
                    </a:xfrm>
                    <a:prstGeom prst="rect">
                      <a:avLst/>
                    </a:prstGeom>
                  </pic:spPr>
                </pic:pic>
              </a:graphicData>
            </a:graphic>
          </wp:inline>
        </w:drawing>
      </w:r>
      <w:r>
        <w:rPr>
          <w:rFonts w:hint="eastAsia" w:ascii="宋体" w:hAnsi="宋体" w:eastAsia="宋体" w:cs="宋体"/>
          <w:i w:val="0"/>
          <w:iCs w:val="0"/>
          <w:caps w:val="0"/>
          <w:color w:val="121212"/>
          <w:spacing w:val="0"/>
          <w:sz w:val="28"/>
          <w:szCs w:val="28"/>
          <w:shd w:val="clear" w:fill="FFFFFF"/>
        </w:rPr>
        <w:t>GH3230</w:t>
      </w:r>
      <w:r>
        <w:rPr>
          <w:rFonts w:hint="eastAsia" w:ascii="宋体" w:hAnsi="宋体" w:eastAsia="宋体" w:cs="宋体"/>
          <w:b/>
          <w:bCs/>
          <w:i w:val="0"/>
          <w:iCs w:val="0"/>
          <w:caps w:val="0"/>
          <w:color w:val="121212"/>
          <w:spacing w:val="0"/>
          <w:sz w:val="28"/>
          <w:szCs w:val="28"/>
          <w:shd w:val="clear" w:fill="FFFFFF"/>
        </w:rPr>
        <w:t>固溶处理及时效处理</w:t>
      </w:r>
    </w:p>
    <w:p>
      <w:pPr>
        <w:pStyle w:val="3"/>
        <w:keepNext w:val="0"/>
        <w:keepLines w:val="0"/>
        <w:widowControl/>
        <w:suppressLineNumbers w:val="0"/>
        <w:shd w:val="clear" w:fill="FFFFFF"/>
        <w:spacing w:before="294" w:beforeAutospacing="0" w:after="294" w:afterAutospacing="0"/>
        <w:ind w:left="0" w:right="0" w:firstLine="0"/>
        <w:rPr>
          <w:rFonts w:hint="eastAsia" w:ascii="宋体" w:hAnsi="宋体" w:eastAsia="宋体" w:cs="宋体"/>
          <w:i w:val="0"/>
          <w:iCs w:val="0"/>
          <w:caps w:val="0"/>
          <w:color w:val="121212"/>
          <w:spacing w:val="0"/>
          <w:sz w:val="28"/>
          <w:szCs w:val="28"/>
          <w:shd w:val="clear" w:fill="FFFFFF"/>
        </w:rPr>
      </w:pPr>
      <w:r>
        <w:rPr>
          <w:rFonts w:hint="eastAsia" w:ascii="宋体" w:hAnsi="宋体" w:eastAsia="宋体" w:cs="宋体"/>
          <w:i w:val="0"/>
          <w:iCs w:val="0"/>
          <w:caps w:val="0"/>
          <w:color w:val="121212"/>
          <w:spacing w:val="0"/>
          <w:sz w:val="28"/>
          <w:szCs w:val="28"/>
          <w:shd w:val="clear" w:fill="FFFFFF"/>
        </w:rPr>
        <w:t>GH3230 合金是一种以 W、Mo 元素作为固溶强化和以碳化物作为第二相强化的镍基高温合金。该固溶强化镍基合金源于 Ni-Cr-Mo-W 合金体系，合金中主要添加的合金元素为 Cr、Mo、W、C、B 等，以此来增加合金的高温力学性能和抗氧化能力。Cr 元素主要起固溶强化作用，也是碳化物形成元素。一方面 Cr 能固溶于基体相中强化组织，另一方面能与碳结合形成 M23C6 型化合物，在一定程度上起到沉淀强化和晶界强化的作用。当含 Cr 量在 14% ～ 20% 时，Cr 含量增加对基体强度的影响不大，但当含 Cr 量超过 20% 时， Cr 会降低 γ″相的固溶温度，因而也降低了合金的高温强度。Co 有益于镍基合金在高温范围内热强性的提高，而且对抗高温热腐蚀性有益。Co 在 Ni-Cr 固溶体中可以降低堆垛层错能，起到良好的固溶强化作用。 合金中 Co 含量的提高对合金组织稳定性和蠕变性能有利，当 Co 含量低于 10% 时，高温强度降低。W 是 γ 基体中的主要强化元素。W 原子半径比基体 Ni 的大，固溶强化作用十分明显。La 元素是高温合金中一种有效的微量活性元素，通常在合金的晶界、相界面和表面等界面具有明显偏聚。La 元素能通过改进氧化膜的黏性和化学组成，从而改善合金的高温抗氧化和耐腐蚀性能。固溶处理是高温合金最重要的热处理方式之一，其主要目的有 3 个: 一是为了溶解基体内碳化物、γ'相等以得到均匀的固溶体; 二是为了获得适宜的晶粒度以保证高温抗蠕变和持久性能; 三是为了降低或消除合金元素偏析，使合金基体中的化学成分均匀。固溶处理能降低合金的偏析使组织均匀，并且能细化 γ'相，促进细小 γ'相的析出。相关研究表明，GH3230 合金固溶处理后，927 MPa / 62 ℃的持久寿命随固溶温度的升高逐渐增大，持久断裂伸长率则变化不大。但是固溶处理温度的选择对合金晶粒尺寸影响较大，因为奥氏体合金存在一个异常长大的温度区间，即超过某临界温度下进行固溶会基体晶粒发生异常长大。时效处理一般在固溶处理和中间处理之后，也可以在直接固溶处理之后。时效处理的目的是进一步在基体中析出细小的 γ'相，形成弥散强化的效果，从而提高合金的力学性能。</w:t>
      </w:r>
    </w:p>
    <w:p>
      <w:pPr>
        <w:bidi w:val="0"/>
        <w:jc w:val="left"/>
        <w:rPr>
          <w:rFonts w:hint="eastAsia" w:ascii="宋体" w:hAnsi="宋体" w:eastAsia="宋体" w:cs="宋体"/>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yNDZjODdiYjc3ZGZhNzk0NDMwMzgzZDczODMzZWQifQ=="/>
  </w:docVars>
  <w:rsids>
    <w:rsidRoot w:val="0B970757"/>
    <w:rsid w:val="0B970757"/>
    <w:rsid w:val="0D173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1417</Words>
  <Characters>1631</Characters>
  <Lines>0</Lines>
  <Paragraphs>0</Paragraphs>
  <TotalTime>12</TotalTime>
  <ScaleCrop>false</ScaleCrop>
  <LinksUpToDate>false</LinksUpToDate>
  <CharactersWithSpaces>1731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2023-03-23T01:05:00Z</dcterms:created>
  <dc:creator>WPS_1676599956</dc:creator>
  <cp:lastModifiedBy>WPS_1676599956</cp:lastModifiedBy>
  <dcterms:modified xsi:type="dcterms:W3CDTF">2023-03-23T01:21:58Z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1A06C3E66CF04408B1C5D9F77B6CA684</vt:lpwstr>
  </property>
</Properties>
</file>