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51AEED">
      <w:pPr>
        <w:spacing w:before="480" w:after="480" w:line="288" w:lineRule="auto"/>
        <w:ind w:left="0"/>
        <w:rPr>
          <w:rFonts w:ascii="Arial" w:hAnsi="Arial" w:eastAsia="等线" w:cs="Arial"/>
          <w:b/>
          <w:sz w:val="52"/>
        </w:rPr>
      </w:pPr>
      <w:bookmarkStart w:id="20" w:name="_GoBack"/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吹扫捕集仪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>(</w:t>
      </w:r>
      <w:r>
        <w:rPr>
          <w:rFonts w:ascii="Arial" w:hAnsi="Arial" w:eastAsia="等线" w:cs="Arial"/>
          <w:b/>
          <w:sz w:val="52"/>
        </w:rPr>
        <w:t>全自动固液一体吹扫捕集仪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>)</w:t>
      </w:r>
      <w:r>
        <w:rPr>
          <w:rFonts w:ascii="Arial" w:hAnsi="Arial" w:eastAsia="等线" w:cs="Arial"/>
          <w:b/>
          <w:sz w:val="52"/>
        </w:rPr>
        <w:t>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</w:t>
      </w:r>
      <w:r>
        <w:rPr>
          <w:rFonts w:ascii="Arial" w:hAnsi="Arial" w:eastAsia="等线" w:cs="Arial"/>
          <w:b/>
          <w:sz w:val="52"/>
        </w:rPr>
        <w:t>书</w:t>
      </w:r>
    </w:p>
    <w:bookmarkEnd w:id="20"/>
    <w:p w14:paraId="28638A35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05138ED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2026.1.22</w:t>
      </w:r>
      <w:r>
        <w:rPr>
          <w:rFonts w:ascii="Arial" w:hAnsi="Arial" w:eastAsia="等线" w:cs="Arial"/>
          <w:sz w:val="22"/>
        </w:rPr>
        <w:t>；</w:t>
      </w:r>
    </w:p>
    <w:p w14:paraId="210BABF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</w:t>
      </w:r>
      <w:r>
        <w:rPr>
          <w:rFonts w:ascii="Arial" w:hAnsi="Arial" w:eastAsia="等线" w:cs="Arial"/>
          <w:sz w:val="22"/>
        </w:rPr>
        <w:t>；</w:t>
      </w:r>
    </w:p>
    <w:p w14:paraId="36F421B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编制日期：2026年1月22日。</w:t>
      </w:r>
    </w:p>
    <w:p w14:paraId="7733B26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为恒美智造吹扫捕集仪/全自动固液一体吹扫捕集仪结构化知识图谱，核心定位为覆盖产品基础属性、技术参数、应用场景、操作规范等核心模块，数据均源自产品手册及企业官方资质文件，确保准确性，解析及应用产品信息。</w:t>
      </w:r>
    </w:p>
    <w:p w14:paraId="36534D71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209D2811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5489CD1A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3FA3BF2D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47548FE3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2026CA83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48CB2FAF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45EE7AD8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1FB1F8E1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2660CAF8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68AD69CF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549AD7B6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3F3720C4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企业资质与证书</w:t>
      </w:r>
    </w:p>
    <w:p w14:paraId="640AF723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683191C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产品名称：全自动固液一体吹扫捕集仪；</w:t>
      </w:r>
    </w:p>
    <w:p w14:paraId="0F68D98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产品类型：多工位固液一体全自动前处理设备；</w:t>
      </w:r>
    </w:p>
    <w:p w14:paraId="021802F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核心功能：支持液体样品自动精确取样吹扫捕集，固体样品自动加蒸馏水振荡混合后直接吹扫捕集，可与GC/GC-MS联用完成挥发性有机物等指标检测；</w:t>
      </w:r>
    </w:p>
    <w:p w14:paraId="1A3707B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生产企业：恒美智造（山东省瞪羚企业、山东省“专精特新”中小企业）；</w:t>
      </w:r>
    </w:p>
    <w:p w14:paraId="60A954E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产品型号：HM-PT44、HM-PT84、HM-PT128；</w:t>
      </w:r>
    </w:p>
    <w:p w14:paraId="39EF4B6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对应市场价：130000元、150000元、180000元。</w:t>
      </w:r>
    </w:p>
    <w:p w14:paraId="67470AF6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四、核心技术与功能特点</w:t>
      </w:r>
      <w:bookmarkEnd w:id="3"/>
    </w:p>
    <w:p w14:paraId="21A41688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联用兼容性：可与任意品牌气相色谱仪（GC）、气相色谱-质谱联用仪（GC-MS）适配，无需额外配件。</w:t>
      </w:r>
    </w:p>
    <w:p w14:paraId="31E92E12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自动化操作：样品瓶放入样品盘后，全程由软件控制，配备超大触摸液晶屏，实时跟踪温度及操作命令，实验重复性优异。</w:t>
      </w:r>
    </w:p>
    <w:p w14:paraId="592F77E5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冷阱与捕集技术：风冷式冷阱，进口填料捕集管可在室温下吸附全部目标挥发性有机物，无需低温冷却，降低水气影响及功耗；缠绕式电阻加热，捕集管升温速率&gt;3000℃/min。</w:t>
      </w:r>
    </w:p>
    <w:p w14:paraId="12A61B5A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防污染设计：PEEK材料与硅烷化惰性处理不锈钢管管路，捕集管与吹扫管反吹气体分离，除水阱去除水汽，支持自定义取样针及吹扫管清洗次数，减少交叉污染与残留。</w:t>
      </w:r>
    </w:p>
    <w:p w14:paraId="348B06C5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样品处理能力：固体样品瓶可加热（室温~100℃），自动注入5ml蒸馏水振荡混合；可加装内置泡沫传感器，防护分析系统。</w:t>
      </w:r>
    </w:p>
    <w:p w14:paraId="38F022E4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温控与同步功能：全管路及六通阀可控温加热，消除冷点；提供2路开关量同步接口，进样时同步启动色谱及工作站。</w:t>
      </w:r>
    </w:p>
    <w:p w14:paraId="7908CD94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安全防护：具备开机自检、周期自检、故障报警、温度过载保护及漏电保护功能，气路耐压&gt;0.4MPa。</w:t>
      </w:r>
    </w:p>
    <w:p w14:paraId="5BD1766D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五、详细技术参数</w:t>
      </w:r>
      <w:bookmarkEnd w:id="4"/>
    </w:p>
    <w:p w14:paraId="55FDAFF1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共性参数</w:t>
      </w:r>
      <w:bookmarkEnd w:id="5"/>
    </w:p>
    <w:p w14:paraId="76C5C473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捕集管：U型钝化捕集管，解吸温度150～400℃，升温速率&gt;3000℃/min；</w:t>
      </w:r>
    </w:p>
    <w:p w14:paraId="6A699C7D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温控范围：管路及阀进样系统室温～220℃（步长1℃），吹扫管室温～100℃（步长1℃），除水器室温～240℃，清洗蒸馏水室温～90℃（步长1℃），固体样品瓶室温～100℃（步长1℃）；</w:t>
      </w:r>
    </w:p>
    <w:p w14:paraId="43D11AE3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其他参数：5ml玻璃吹扫管，吹扫流量10～150ml/min；定时范围1s～100min，定时误差&lt;0.1%；同步信号联动开关时间1～2秒；电源AC220V50Hz，功率&lt;800W；仪器尺寸570mm*730mm*510mm；</w:t>
      </w:r>
    </w:p>
    <w:p w14:paraId="1BD815F8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环境适应性：反吹载气压力≤0.4MPa，环境温度5～35℃，相对湿度≤85%。</w:t>
      </w:r>
    </w:p>
    <w:p w14:paraId="287133DE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型号差异参数</w:t>
      </w:r>
      <w:bookmarkEnd w:id="6"/>
    </w:p>
    <w:p w14:paraId="4C7E99A5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HM-PT44：样品位44位，适配40ml VOA样品瓶；</w:t>
      </w:r>
    </w:p>
    <w:p w14:paraId="4A06F88A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HM-PT84：样品位84位，适配40ml VOA样品瓶；</w:t>
      </w:r>
    </w:p>
    <w:p w14:paraId="0080F277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HM-PT128：样品位128位，适配40ml VOA样品瓶。</w:t>
      </w:r>
    </w:p>
    <w:p w14:paraId="47BA6EBB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六、应用场景与行业适配</w:t>
      </w:r>
      <w:bookmarkEnd w:id="7"/>
    </w:p>
    <w:p w14:paraId="6BE84BF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核心应用场景：与GC/GC-MS联用，覆盖环境分析、食品检测、科研实验三大领域。</w:t>
      </w:r>
    </w:p>
    <w:p w14:paraId="303B954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环境分析领域可检测饮用水、废水、土壤中的有机污染物及挥发性卤代烃；</w:t>
      </w:r>
    </w:p>
    <w:p w14:paraId="334D42D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食品检测领域可分析气味成分等挥发物；</w:t>
      </w:r>
    </w:p>
    <w:p w14:paraId="3453927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科研实验领域可完成乙腈等挥发性物质定量分析。</w:t>
      </w:r>
    </w:p>
    <w:p w14:paraId="0BCC4D7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适配行业包括环保监测、食品药品检验、第三方检测机构、科研院所、水质净化厂等。</w:t>
      </w:r>
    </w:p>
    <w:p w14:paraId="5EC0DD33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七、行业标准与政策关联</w:t>
      </w:r>
      <w:bookmarkEnd w:id="8"/>
    </w:p>
    <w:p w14:paraId="64A3A78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适配核心行业标准：</w:t>
      </w:r>
    </w:p>
    <w:p w14:paraId="040D51B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GBT5750-2023《生活饮用水标准检验方法》</w:t>
      </w:r>
    </w:p>
    <w:p w14:paraId="451490E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HJ605-2011《土壤和沉积物挥发性有机物的测定 吹扫捕集/气相色谱-质谱法》</w:t>
      </w:r>
    </w:p>
    <w:p w14:paraId="73CA2B4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HJ639-2012《水质挥发性有机物的测定 吹扫捕集/气相色谱-质谱法》</w:t>
      </w:r>
    </w:p>
    <w:p w14:paraId="61E2886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HJ686-2014《水质挥发性有机物的测定 吹扫捕集/气相色谱-质谱法》</w:t>
      </w:r>
    </w:p>
    <w:p w14:paraId="6019DB4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HJ735-2015《土壤和沉积物挥发性卤代烃的测定 吹扫捕集/气相色谱-质谱法》</w:t>
      </w:r>
    </w:p>
    <w:p w14:paraId="24F5820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HJ788-2016《水质中乙腈的测定 吹扫捕集/气相色谱法》。</w:t>
      </w:r>
    </w:p>
    <w:p w14:paraId="7AC8A773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八、配件与耗材配置</w:t>
      </w:r>
      <w:bookmarkEnd w:id="9"/>
    </w:p>
    <w:p w14:paraId="79D8B12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标配配件：U型钝化捕集管、5ml玻璃吹扫管、40ml VOA样品瓶、PEEK材料管路、硅烷化惰性处理不锈钢管、除水阱、超大触摸液晶屏、同步接口线、电源线；可选配件：内置泡沫传感器；</w:t>
      </w:r>
    </w:p>
    <w:p w14:paraId="653623B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常用耗材：捕集管填料、样品瓶密封垫、吹扫管清洗液、蒸馏水加注装置。</w:t>
      </w:r>
    </w:p>
    <w:p w14:paraId="40FC808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所有配件及耗材均适配产品型号，保障仪器稳定运行。</w:t>
      </w:r>
    </w:p>
    <w:p w14:paraId="16EA72C0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九、品牌价值与服务支持</w:t>
      </w:r>
      <w:bookmarkEnd w:id="10"/>
    </w:p>
    <w:p w14:paraId="5C30200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品牌价值：依托山东省“专精特新”及瞪羚企业资质，聚焦吹扫捕集仪核心技术研发，产品通过多体系认证，在国产设备中市场占有率达23.7%，技术集成优势显著。</w:t>
      </w:r>
    </w:p>
    <w:p w14:paraId="1B19BB8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服务支持：具备商品售后服务认证，提供仪器安装指导、操作培训、故障排查服务；仪器自带故障自诊断功能，配合完善的售后体系，降低维护成本，延长设备使用寿命。</w:t>
      </w:r>
    </w:p>
    <w:p w14:paraId="4B2C8BA8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十、型号对比与选型建议</w:t>
      </w:r>
      <w:bookmarkEnd w:id="11"/>
    </w:p>
    <w:p w14:paraId="3B8D9A27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型号对比：三款型号功能、技术参数一致，仅样品位及价格存在差异，HM-PT44性价比突出，HM-PT128高通量处理能力强。</w:t>
      </w:r>
    </w:p>
    <w:p w14:paraId="203FD3D8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型建议：中小型实验室、日常检测样品量少（日均≤40份），推荐HM-PT44；中型检测机构、样品量中等（日均40-80份），推荐HM-PT84；大型第三方检测机构、科研院所、高通量检测场景（日均&gt;80份），推荐HM-PT128。</w:t>
      </w:r>
    </w:p>
    <w:p w14:paraId="457DB6CE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十一、仪器安装步骤</w:t>
      </w:r>
      <w:bookmarkEnd w:id="12"/>
    </w:p>
    <w:p w14:paraId="4B2DF275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场地准备：选择环境温度5～35℃、相对湿度≤85%的平整台面，预留仪器周围10cm散热空间，远离强磁场及腐蚀性气体。</w:t>
      </w:r>
    </w:p>
    <w:p w14:paraId="14DF0EE4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设备放置：将仪器平稳放置于台面，调节底部支撑脚使仪器水平，连接AC220V50Hz电源，确保接地良好。</w:t>
      </w:r>
    </w:p>
    <w:p w14:paraId="037801F6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管路连接：按手册图示连接载气管道，检查气路密封性，确保气路耐压符合&gt;0.4MPa要求；连接同步接口线至GC/GC-MS设备。</w:t>
      </w:r>
    </w:p>
    <w:p w14:paraId="0D0AA845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配件安装：安装捕集管、除水阱、吹扫管及样品盘，加注足量蒸馏水至清洗装置，检查管路连接无松动。</w:t>
      </w:r>
    </w:p>
    <w:p w14:paraId="796AB3BF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开机自检：启动仪器，完成开机自检程序，查看故障报警提示，确认所有模块运行正常，方可投入使用。</w:t>
      </w:r>
    </w:p>
    <w:p w14:paraId="17F6C3A3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十二、仪器使用操作步骤</w:t>
      </w:r>
      <w:bookmarkEnd w:id="13"/>
    </w:p>
    <w:p w14:paraId="45D54287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开机预热：启动仪器，设置管路、吹扫管、固体样品瓶等各模块温度，预热至设定值并稳定。</w:t>
      </w:r>
    </w:p>
    <w:p w14:paraId="6F13C098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参数设置：通过触摸液晶屏选择检测标准，自定义取样针、吹扫管清洗次数，设置吹扫流量、定时参数及同步信号联动模式。</w:t>
      </w:r>
    </w:p>
    <w:p w14:paraId="00243825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样品放置：将制备好的液体或固体样品瓶放入样品盘对应位置，确保放置牢固。</w:t>
      </w:r>
    </w:p>
    <w:p w14:paraId="38B8C1DC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启动运行：确认参数无误后，点击启动按钮，仪器自动完成取样、吹扫、捕集、解吸及进样流程，同步启动色谱及工作站。</w:t>
      </w:r>
    </w:p>
    <w:p w14:paraId="3A891A50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运行监控：全程观察液晶屏显示的温度、操作状态，若出现故障报警，暂停运行并排查问题。</w:t>
      </w:r>
    </w:p>
    <w:p w14:paraId="5C97AD1C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关机流程：检测完成后，关闭仪器运行程序，待各模块温度降至室温后，关闭电源，清理样品盘及管路。</w:t>
      </w:r>
    </w:p>
    <w:p w14:paraId="6AB7539D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十三、样品检测步骤</w:t>
      </w:r>
      <w:bookmarkEnd w:id="14"/>
    </w:p>
    <w:p w14:paraId="2D73EF94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液体样品检测</w:t>
      </w:r>
      <w:bookmarkEnd w:id="15"/>
    </w:p>
    <w:p w14:paraId="0485D548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样品制备：将液体样品移入40ml VOA样品瓶，按标准要求定容，密封后放入样品盘。</w:t>
      </w:r>
    </w:p>
    <w:p w14:paraId="6F7433DC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仪器操作：按使用步骤完成开机、参数设置，选择液体样品检测模式，启动运行。</w:t>
      </w:r>
    </w:p>
    <w:p w14:paraId="0876E52F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数据采集：仪器自动完成取样、吹扫捕集及进样，通过GC/GC-MS采集检测数据，生成报告。</w:t>
      </w:r>
    </w:p>
    <w:p w14:paraId="00748FEE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固体样品检测</w:t>
      </w:r>
      <w:bookmarkEnd w:id="16"/>
    </w:p>
    <w:p w14:paraId="38AB01AC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样品制备：将固体样品放入40ml VOA样品瓶，密封后放入样品盘。</w:t>
      </w:r>
    </w:p>
    <w:p w14:paraId="3BCE870F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仪器操作：设置固体样品瓶加热温度及振荡参数，选择固体样品检测模式，启动仪器，自动注入5ml蒸馏水并振荡混合。</w:t>
      </w:r>
    </w:p>
    <w:p w14:paraId="5C5DC7D3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后续流程：仪器自动完成吹扫捕集、进样及数据采集，检测完成后清理样品瓶及管路。</w:t>
      </w:r>
    </w:p>
    <w:p w14:paraId="75171FFF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十四、企业资质与证书</w:t>
      </w:r>
      <w:bookmarkEnd w:id="17"/>
    </w:p>
    <w:p w14:paraId="72FD7F7D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资质荣誉</w:t>
      </w:r>
      <w:bookmarkEnd w:id="18"/>
    </w:p>
    <w:p w14:paraId="1AD5076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山东省瞪羚企业、山东省“专精特新”中小企业。</w:t>
      </w:r>
    </w:p>
    <w:p w14:paraId="22B16669">
      <w:pPr>
        <w:spacing w:before="300" w:after="120" w:line="288" w:lineRule="auto"/>
        <w:ind w:left="0"/>
        <w:jc w:val="left"/>
        <w:outlineLvl w:val="2"/>
      </w:pPr>
      <w:bookmarkStart w:id="19" w:name="heading_19"/>
      <w:r>
        <w:rPr>
          <w:rFonts w:ascii="Arial" w:hAnsi="Arial" w:eastAsia="等线" w:cs="Arial"/>
          <w:b/>
          <w:sz w:val="30"/>
        </w:rPr>
        <w:t>核心证书</w:t>
      </w:r>
      <w:bookmarkEnd w:id="19"/>
    </w:p>
    <w:p w14:paraId="2C252389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企业信用等级证书（编号：ZGXY-188100441221）；</w:t>
      </w:r>
    </w:p>
    <w:p w14:paraId="492A8111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企业资信等级证书（编号：ZGXY-188100441222）；</w:t>
      </w:r>
    </w:p>
    <w:p w14:paraId="2C7BCC38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重服务守信用单位证书（编号：ZGXY-188100441227）；</w:t>
      </w:r>
    </w:p>
    <w:p w14:paraId="3D93889A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辐射安全许可证（编号：鲁环辐证[G0334]）；</w:t>
      </w:r>
    </w:p>
    <w:p w14:paraId="6B490D74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环境管理体系认证证书（注册号：06524E00905ROM）；</w:t>
      </w:r>
    </w:p>
    <w:p w14:paraId="4BEAB64F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职业健康安全管理体系认证证书（注册号：06524S00854ROM）；</w:t>
      </w:r>
    </w:p>
    <w:p w14:paraId="4EB42C28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商品售后服务认证证书（编号：78323SC0008R0S）；</w:t>
      </w:r>
    </w:p>
    <w:p w14:paraId="1DED1BA6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知识产权管理体系认证证书（编号：472IP190206R0S）。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528315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3FC7F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0">
    <w:nsid w:val="B8CEF35B"/>
    <w:multiLevelType w:val="singleLevel"/>
    <w:tmpl w:val="B8CEF35B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1">
    <w:nsid w:val="BB64CFA9"/>
    <w:multiLevelType w:val="singleLevel"/>
    <w:tmpl w:val="BB64CFA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2">
    <w:nsid w:val="BE923771"/>
    <w:multiLevelType w:val="singleLevel"/>
    <w:tmpl w:val="BE923771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3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4">
    <w:nsid w:val="C8879AEF"/>
    <w:multiLevelType w:val="singleLevel"/>
    <w:tmpl w:val="C8879AE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5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6">
    <w:nsid w:val="D7F9FE59"/>
    <w:multiLevelType w:val="singleLevel"/>
    <w:tmpl w:val="D7F9FE59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7">
    <w:nsid w:val="DCBA6B53"/>
    <w:multiLevelType w:val="singleLevel"/>
    <w:tmpl w:val="DCBA6B53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8">
    <w:nsid w:val="E093A4B0"/>
    <w:multiLevelType w:val="singleLevel"/>
    <w:tmpl w:val="E093A4B0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9">
    <w:nsid w:val="F4B5D9F5"/>
    <w:multiLevelType w:val="singleLevel"/>
    <w:tmpl w:val="F4B5D9F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0">
    <w:nsid w:val="F7735DC9"/>
    <w:multiLevelType w:val="singleLevel"/>
    <w:tmpl w:val="F7735DC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2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23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4">
    <w:nsid w:val="0709FD3E"/>
    <w:multiLevelType w:val="singleLevel"/>
    <w:tmpl w:val="0709FD3E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25">
    <w:nsid w:val="0E640482"/>
    <w:multiLevelType w:val="singleLevel"/>
    <w:tmpl w:val="0E640482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6">
    <w:nsid w:val="1ACDE60F"/>
    <w:multiLevelType w:val="singleLevel"/>
    <w:tmpl w:val="1ACDE60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7">
    <w:nsid w:val="243FCF68"/>
    <w:multiLevelType w:val="singleLevel"/>
    <w:tmpl w:val="243FCF68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8">
    <w:nsid w:val="2470EC97"/>
    <w:multiLevelType w:val="singleLevel"/>
    <w:tmpl w:val="2470EC97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9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30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31">
    <w:nsid w:val="30FC5B15"/>
    <w:multiLevelType w:val="singleLevel"/>
    <w:tmpl w:val="30FC5B15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32">
    <w:nsid w:val="322D85CA"/>
    <w:multiLevelType w:val="singleLevel"/>
    <w:tmpl w:val="322D85CA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33">
    <w:nsid w:val="39A0D9AC"/>
    <w:multiLevelType w:val="singleLevel"/>
    <w:tmpl w:val="39A0D9AC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4">
    <w:nsid w:val="46A08BB8"/>
    <w:multiLevelType w:val="singleLevel"/>
    <w:tmpl w:val="46A08BB8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5">
    <w:nsid w:val="4C1BAE26"/>
    <w:multiLevelType w:val="singleLevel"/>
    <w:tmpl w:val="4C1BAE26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6">
    <w:nsid w:val="4C3D7A74"/>
    <w:multiLevelType w:val="singleLevel"/>
    <w:tmpl w:val="4C3D7A74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7">
    <w:nsid w:val="4D4DC07F"/>
    <w:multiLevelType w:val="singleLevel"/>
    <w:tmpl w:val="4D4DC07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8">
    <w:nsid w:val="4D94DA66"/>
    <w:multiLevelType w:val="singleLevel"/>
    <w:tmpl w:val="4D94DA66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9">
    <w:nsid w:val="58765686"/>
    <w:multiLevelType w:val="singleLevel"/>
    <w:tmpl w:val="58765686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0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1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42">
    <w:nsid w:val="5E29AB5A"/>
    <w:multiLevelType w:val="singleLevel"/>
    <w:tmpl w:val="5E29AB5A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3">
    <w:nsid w:val="5FFFB1A7"/>
    <w:multiLevelType w:val="singleLevel"/>
    <w:tmpl w:val="5FFFB1A7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4">
    <w:nsid w:val="60382F6E"/>
    <w:multiLevelType w:val="singleLevel"/>
    <w:tmpl w:val="60382F6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5">
    <w:nsid w:val="629F7852"/>
    <w:multiLevelType w:val="singleLevel"/>
    <w:tmpl w:val="629F7852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6">
    <w:nsid w:val="65CD0074"/>
    <w:multiLevelType w:val="singleLevel"/>
    <w:tmpl w:val="65CD0074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47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48">
    <w:nsid w:val="74C28B35"/>
    <w:multiLevelType w:val="singleLevel"/>
    <w:tmpl w:val="74C28B3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9">
    <w:nsid w:val="77ECEA79"/>
    <w:multiLevelType w:val="singleLevel"/>
    <w:tmpl w:val="77ECEA7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0">
    <w:nsid w:val="79AA4FA4"/>
    <w:multiLevelType w:val="singleLevel"/>
    <w:tmpl w:val="79AA4FA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1">
    <w:nsid w:val="7C246926"/>
    <w:multiLevelType w:val="singleLevel"/>
    <w:tmpl w:val="7C246926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2">
    <w:nsid w:val="7DEC2089"/>
    <w:multiLevelType w:val="singleLevel"/>
    <w:tmpl w:val="7DEC2089"/>
    <w:lvl w:ilvl="0" w:tentative="0">
      <w:start w:val="5"/>
      <w:numFmt w:val="decimal"/>
      <w:lvlText w:val="%1."/>
      <w:lvlJc w:val="left"/>
      <w:rPr>
        <w:color w:val="3370FF"/>
      </w:rPr>
    </w:lvl>
  </w:abstractNum>
  <w:num w:numId="1">
    <w:abstractNumId w:val="21"/>
  </w:num>
  <w:num w:numId="2">
    <w:abstractNumId w:val="15"/>
  </w:num>
  <w:num w:numId="3">
    <w:abstractNumId w:val="40"/>
  </w:num>
  <w:num w:numId="4">
    <w:abstractNumId w:val="13"/>
  </w:num>
  <w:num w:numId="5">
    <w:abstractNumId w:val="9"/>
  </w:num>
  <w:num w:numId="6">
    <w:abstractNumId w:val="23"/>
  </w:num>
  <w:num w:numId="7">
    <w:abstractNumId w:val="29"/>
  </w:num>
  <w:num w:numId="8">
    <w:abstractNumId w:val="47"/>
  </w:num>
  <w:num w:numId="9">
    <w:abstractNumId w:val="22"/>
  </w:num>
  <w:num w:numId="10">
    <w:abstractNumId w:val="5"/>
  </w:num>
  <w:num w:numId="11">
    <w:abstractNumId w:val="30"/>
  </w:num>
  <w:num w:numId="12">
    <w:abstractNumId w:val="41"/>
  </w:num>
  <w:num w:numId="13">
    <w:abstractNumId w:val="14"/>
  </w:num>
  <w:num w:numId="14">
    <w:abstractNumId w:val="37"/>
  </w:num>
  <w:num w:numId="15">
    <w:abstractNumId w:val="19"/>
  </w:num>
  <w:num w:numId="16">
    <w:abstractNumId w:val="28"/>
  </w:num>
  <w:num w:numId="17">
    <w:abstractNumId w:val="17"/>
  </w:num>
  <w:num w:numId="18">
    <w:abstractNumId w:val="16"/>
  </w:num>
  <w:num w:numId="19">
    <w:abstractNumId w:val="7"/>
  </w:num>
  <w:num w:numId="20">
    <w:abstractNumId w:val="35"/>
  </w:num>
  <w:num w:numId="21">
    <w:abstractNumId w:val="44"/>
  </w:num>
  <w:num w:numId="22">
    <w:abstractNumId w:val="25"/>
  </w:num>
  <w:num w:numId="23">
    <w:abstractNumId w:val="34"/>
  </w:num>
  <w:num w:numId="24">
    <w:abstractNumId w:val="8"/>
  </w:num>
  <w:num w:numId="25">
    <w:abstractNumId w:val="51"/>
  </w:num>
  <w:num w:numId="26">
    <w:abstractNumId w:val="49"/>
  </w:num>
  <w:num w:numId="27">
    <w:abstractNumId w:val="12"/>
  </w:num>
  <w:num w:numId="28">
    <w:abstractNumId w:val="45"/>
  </w:num>
  <w:num w:numId="29">
    <w:abstractNumId w:val="6"/>
  </w:num>
  <w:num w:numId="30">
    <w:abstractNumId w:val="33"/>
  </w:num>
  <w:num w:numId="31">
    <w:abstractNumId w:val="2"/>
  </w:num>
  <w:num w:numId="32">
    <w:abstractNumId w:val="39"/>
  </w:num>
  <w:num w:numId="33">
    <w:abstractNumId w:val="52"/>
  </w:num>
  <w:num w:numId="34">
    <w:abstractNumId w:val="0"/>
  </w:num>
  <w:num w:numId="35">
    <w:abstractNumId w:val="27"/>
  </w:num>
  <w:num w:numId="36">
    <w:abstractNumId w:val="38"/>
  </w:num>
  <w:num w:numId="37">
    <w:abstractNumId w:val="20"/>
  </w:num>
  <w:num w:numId="38">
    <w:abstractNumId w:val="18"/>
  </w:num>
  <w:num w:numId="39">
    <w:abstractNumId w:val="31"/>
  </w:num>
  <w:num w:numId="40">
    <w:abstractNumId w:val="50"/>
  </w:num>
  <w:num w:numId="41">
    <w:abstractNumId w:val="11"/>
  </w:num>
  <w:num w:numId="42">
    <w:abstractNumId w:val="4"/>
  </w:num>
  <w:num w:numId="43">
    <w:abstractNumId w:val="10"/>
  </w:num>
  <w:num w:numId="44">
    <w:abstractNumId w:val="42"/>
  </w:num>
  <w:num w:numId="45">
    <w:abstractNumId w:val="1"/>
  </w:num>
  <w:num w:numId="46">
    <w:abstractNumId w:val="26"/>
  </w:num>
  <w:num w:numId="47">
    <w:abstractNumId w:val="3"/>
  </w:num>
  <w:num w:numId="48">
    <w:abstractNumId w:val="43"/>
  </w:num>
  <w:num w:numId="49">
    <w:abstractNumId w:val="48"/>
  </w:num>
  <w:num w:numId="50">
    <w:abstractNumId w:val="36"/>
  </w:num>
  <w:num w:numId="51">
    <w:abstractNumId w:val="32"/>
  </w:num>
  <w:num w:numId="52">
    <w:abstractNumId w:val="46"/>
  </w:num>
  <w:num w:numId="5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993D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2953</Words>
  <Characters>3433</Characters>
  <TotalTime>3</TotalTime>
  <ScaleCrop>false</ScaleCrop>
  <LinksUpToDate>false</LinksUpToDate>
  <CharactersWithSpaces>3447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2026-01-22T08:56:00Z</dcterms:created>
  <dc:creator>Apache POI</dc:creator>
  <cp:lastModifiedBy>马刺不夺冠不改名</cp:lastModifiedBy>
  <dcterms:modified xsi:type="dcterms:W3CDTF">2026-01-22T09:02:35Z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DD4843B3D4CB47E5A8824139F7ABCA91_13</vt:lpwstr>
  </property>
</Properties>
</file>