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99BDA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lang w:val="en-US" w:eastAsia="zh-CN"/>
        </w:rPr>
        <w:t>钛白粉生产</w:t>
      </w:r>
      <w:r>
        <w:rPr>
          <w:rFonts w:hint="eastAsia" w:ascii="仿宋" w:hAnsi="仿宋" w:eastAsia="仿宋" w:cs="仿宋"/>
          <w:b/>
          <w:bCs/>
          <w:color w:val="000000"/>
          <w:sz w:val="44"/>
          <w:szCs w:val="44"/>
        </w:rPr>
        <w:t>项目可行性研究报告-钛白粉淡季价格企稳，原材料涨价带动企业成本上升</w:t>
      </w:r>
    </w:p>
    <w:p w14:paraId="09A8205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仿宋" w:hAnsi="仿宋" w:eastAsia="仿宋" w:cs="仿宋"/>
          <w:b/>
          <w:bCs/>
          <w:color w:val="000000"/>
          <w:sz w:val="44"/>
          <w:szCs w:val="44"/>
          <w:lang w:val="en-US" w:eastAsia="zh-CN"/>
        </w:rPr>
      </w:pPr>
    </w:p>
    <w:p w14:paraId="57FA6992">
      <w:pPr>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1、钛白粉及原材料价格复盘</w:t>
      </w:r>
    </w:p>
    <w:p w14:paraId="6938FC0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钛白粉价格整体维稳。根据卓创数据，钛白粉7月均价为15150 元/吨，较上月下降84元/吨，下降幅度-0.5%。主要由于7月份依然处于需求淡季，下游建筑涂料行业开工负荷率不足五成，塑料、造纸、纺织行业也处于季节性淡季。</w:t>
      </w:r>
    </w:p>
    <w:p w14:paraId="25074BEE">
      <w:pPr>
        <w:jc w:val="left"/>
        <w:rPr>
          <w:rFonts w:hint="eastAsia" w:ascii="仿宋" w:hAnsi="仿宋" w:eastAsia="仿宋" w:cs="仿宋"/>
          <w:b w:val="0"/>
          <w:bCs w:val="0"/>
          <w:sz w:val="28"/>
          <w:szCs w:val="28"/>
          <w:lang w:val="en-US" w:eastAsia="zh-CN"/>
        </w:rPr>
      </w:pPr>
      <w:r>
        <w:drawing>
          <wp:inline distT="0" distB="0" distL="114300" distR="114300">
            <wp:extent cx="5266055" cy="2292350"/>
            <wp:effectExtent l="0" t="0" r="1079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66055" cy="2292350"/>
                    </a:xfrm>
                    <a:prstGeom prst="rect">
                      <a:avLst/>
                    </a:prstGeom>
                    <a:noFill/>
                    <a:ln>
                      <a:noFill/>
                    </a:ln>
                  </pic:spPr>
                </pic:pic>
              </a:graphicData>
            </a:graphic>
          </wp:inline>
        </w:drawing>
      </w:r>
    </w:p>
    <w:p w14:paraId="0C39E8B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钛精矿价格止跌回升。根据百川数据，攀枝花钛精矿（TiO2≥46%）7月均价为2216 元/吨，较上月上涨 52 元/吨，上涨幅度 2.4%。攀矿方面，月内地区内均处于限矿状态，矿资源短缺；承德地区，月内进行安全环保检査工作，矿山开采以及选厂开工均有所限制。</w:t>
      </w:r>
    </w:p>
    <w:p w14:paraId="49916C53">
      <w:pPr>
        <w:ind w:firstLine="420" w:firstLineChars="200"/>
        <w:jc w:val="left"/>
        <w:rPr>
          <w:rFonts w:hint="eastAsia" w:ascii="仿宋" w:hAnsi="仿宋" w:eastAsia="仿宋" w:cs="仿宋"/>
          <w:b w:val="0"/>
          <w:bCs w:val="0"/>
          <w:sz w:val="28"/>
          <w:szCs w:val="28"/>
          <w:lang w:val="en-US" w:eastAsia="zh-CN"/>
        </w:rPr>
      </w:pPr>
      <w:r>
        <w:drawing>
          <wp:inline distT="0" distB="0" distL="114300" distR="114300">
            <wp:extent cx="5272405" cy="2318385"/>
            <wp:effectExtent l="0" t="0" r="4445"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72405" cy="2318385"/>
                    </a:xfrm>
                    <a:prstGeom prst="rect">
                      <a:avLst/>
                    </a:prstGeom>
                    <a:noFill/>
                    <a:ln>
                      <a:noFill/>
                    </a:ln>
                  </pic:spPr>
                </pic:pic>
              </a:graphicData>
            </a:graphic>
          </wp:inline>
        </w:drawing>
      </w:r>
    </w:p>
    <w:p w14:paraId="6E191BC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硫酸价格持续上涨。根据百川数据，浓硫酸（98%）全国均价 416 元/吨，较上月上涨 72 元/吨，上涨幅度 20.8%。7 月，国内硫酸市场全域上行，冶炼酸原料铜精矿、铅锌矿紧张情况的仍在局部区域发酵。</w:t>
      </w:r>
    </w:p>
    <w:p w14:paraId="283F19BA">
      <w:pPr>
        <w:ind w:firstLine="420" w:firstLineChars="200"/>
        <w:jc w:val="left"/>
        <w:rPr>
          <w:rFonts w:hint="eastAsia" w:ascii="仿宋" w:hAnsi="仿宋" w:eastAsia="仿宋" w:cs="仿宋"/>
          <w:b w:val="0"/>
          <w:bCs w:val="0"/>
          <w:sz w:val="28"/>
          <w:szCs w:val="28"/>
          <w:lang w:val="en-US" w:eastAsia="zh-CN"/>
        </w:rPr>
      </w:pPr>
      <w:r>
        <w:drawing>
          <wp:inline distT="0" distB="0" distL="114300" distR="114300">
            <wp:extent cx="5267325" cy="2277110"/>
            <wp:effectExtent l="0" t="0" r="952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5267325" cy="2277110"/>
                    </a:xfrm>
                    <a:prstGeom prst="rect">
                      <a:avLst/>
                    </a:prstGeom>
                    <a:noFill/>
                    <a:ln>
                      <a:noFill/>
                    </a:ln>
                  </pic:spPr>
                </pic:pic>
              </a:graphicData>
            </a:graphic>
          </wp:inline>
        </w:drawing>
      </w:r>
    </w:p>
    <w:p w14:paraId="7E0439A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成本端压力增大，价差持续缩小。截至2024年7月31日，钛白粉价差为7622元/吨，较6月28日下降584元/吨，下降幅度7.1%。</w:t>
      </w:r>
    </w:p>
    <w:p w14:paraId="15244D17">
      <w:pPr>
        <w:ind w:firstLine="420" w:firstLineChars="200"/>
        <w:jc w:val="left"/>
        <w:rPr>
          <w:rFonts w:hint="eastAsia" w:ascii="仿宋" w:hAnsi="仿宋" w:eastAsia="仿宋" w:cs="仿宋"/>
          <w:b w:val="0"/>
          <w:bCs w:val="0"/>
          <w:sz w:val="28"/>
          <w:szCs w:val="28"/>
          <w:lang w:val="en-US" w:eastAsia="zh-CN"/>
        </w:rPr>
      </w:pPr>
      <w:r>
        <w:drawing>
          <wp:inline distT="0" distB="0" distL="114300" distR="114300">
            <wp:extent cx="5272405" cy="2391410"/>
            <wp:effectExtent l="0" t="0" r="4445"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5272405" cy="2391410"/>
                    </a:xfrm>
                    <a:prstGeom prst="rect">
                      <a:avLst/>
                    </a:prstGeom>
                    <a:noFill/>
                    <a:ln>
                      <a:noFill/>
                    </a:ln>
                  </pic:spPr>
                </pic:pic>
              </a:graphicData>
            </a:graphic>
          </wp:inline>
        </w:drawing>
      </w:r>
    </w:p>
    <w:p w14:paraId="68E4B8C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企业盈利能力承压。根据卓创数据，企业理论成本持续向上，截至 2024年7月25 日，钛白粉周均理论成本为 15370 元/吨，较上月末上涨 352 元/吨，上涨幅度 2.3%，理论毛利率则从 1.19%下降到-1.43%。</w:t>
      </w:r>
    </w:p>
    <w:p w14:paraId="4586215F">
      <w:p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2、钛白粉企业生产情况</w:t>
      </w:r>
    </w:p>
    <w:p w14:paraId="680D172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钛白粉价格7月产量为 32.5 万吨，同比增长 9.9%，环比下降 6.2%，1-7 月产量累计同比增长 5.3%。截至 2024 年 7 月 25 日，随着多家企业开启检修，企业开工率下滑至 71.34%。</w:t>
      </w:r>
    </w:p>
    <w:p w14:paraId="4B6DBBEE">
      <w:pPr>
        <w:jc w:val="left"/>
        <w:rPr>
          <w:rFonts w:hint="eastAsia" w:ascii="仿宋" w:hAnsi="仿宋" w:eastAsia="仿宋" w:cs="仿宋"/>
          <w:b w:val="0"/>
          <w:bCs w:val="0"/>
          <w:sz w:val="28"/>
          <w:szCs w:val="28"/>
          <w:lang w:val="en-US" w:eastAsia="zh-CN"/>
        </w:rPr>
      </w:pPr>
      <w:r>
        <w:drawing>
          <wp:inline distT="0" distB="0" distL="114300" distR="114300">
            <wp:extent cx="5268595" cy="2952115"/>
            <wp:effectExtent l="0" t="0" r="8255"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5268595" cy="2952115"/>
                    </a:xfrm>
                    <a:prstGeom prst="rect">
                      <a:avLst/>
                    </a:prstGeom>
                    <a:noFill/>
                    <a:ln>
                      <a:noFill/>
                    </a:ln>
                  </pic:spPr>
                </pic:pic>
              </a:graphicData>
            </a:graphic>
          </wp:inline>
        </w:drawing>
      </w:r>
    </w:p>
    <w:p w14:paraId="16277BA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随着企业的检修以及减产，市场库存已在逐步去化。根据卓创数据，截至 2024年7月25日，钛白粉周度库存为19万吨，较上月末的 270 万吨已有下降，显示市场库存在逐步去化，但当前仍处于相对高位。</w:t>
      </w:r>
    </w:p>
    <w:p w14:paraId="239459C1">
      <w:pPr>
        <w:ind w:firstLine="420" w:firstLineChars="200"/>
        <w:jc w:val="left"/>
        <w:rPr>
          <w:rFonts w:hint="eastAsia" w:ascii="仿宋" w:hAnsi="仿宋" w:eastAsia="仿宋" w:cs="仿宋"/>
          <w:b w:val="0"/>
          <w:bCs w:val="0"/>
          <w:sz w:val="28"/>
          <w:szCs w:val="28"/>
          <w:lang w:val="en-US" w:eastAsia="zh-CN"/>
        </w:rPr>
      </w:pPr>
      <w:r>
        <w:drawing>
          <wp:inline distT="0" distB="0" distL="114300" distR="114300">
            <wp:extent cx="5271770" cy="2498090"/>
            <wp:effectExtent l="0" t="0" r="5080" b="165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stretch>
                      <a:fillRect/>
                    </a:stretch>
                  </pic:blipFill>
                  <pic:spPr>
                    <a:xfrm>
                      <a:off x="0" y="0"/>
                      <a:ext cx="5271770" cy="2498090"/>
                    </a:xfrm>
                    <a:prstGeom prst="rect">
                      <a:avLst/>
                    </a:prstGeom>
                    <a:noFill/>
                    <a:ln>
                      <a:noFill/>
                    </a:ln>
                  </pic:spPr>
                </pic:pic>
              </a:graphicData>
            </a:graphic>
          </wp:inline>
        </w:drawing>
      </w:r>
    </w:p>
    <w:p w14:paraId="12941F13">
      <w:pPr>
        <w:ind w:firstLine="560" w:firstLineChars="200"/>
        <w:jc w:val="left"/>
        <w:rPr>
          <w:rFonts w:hint="eastAsia" w:ascii="仿宋" w:hAnsi="仿宋" w:eastAsia="仿宋" w:cs="仿宋"/>
          <w:b w:val="0"/>
          <w:bCs w:val="0"/>
          <w:sz w:val="28"/>
          <w:szCs w:val="28"/>
          <w:lang w:val="en-US" w:eastAsia="zh-CN"/>
        </w:rPr>
      </w:pPr>
    </w:p>
    <w:p w14:paraId="2F54D0CF">
      <w:pPr>
        <w:ind w:firstLine="560" w:firstLineChars="200"/>
        <w:jc w:val="left"/>
        <w:rPr>
          <w:rFonts w:hint="eastAsia" w:ascii="仿宋" w:hAnsi="仿宋" w:eastAsia="仿宋" w:cs="仿宋"/>
          <w:b/>
          <w:bCs/>
          <w:sz w:val="28"/>
          <w:szCs w:val="28"/>
          <w:lang w:val="en-US" w:eastAsia="zh-CN"/>
        </w:rPr>
      </w:pPr>
      <w:r>
        <w:rPr>
          <w:rFonts w:hint="eastAsia" w:ascii="仿宋" w:hAnsi="仿宋" w:eastAsia="仿宋" w:cs="仿宋"/>
          <w:b w:val="0"/>
          <w:bCs w:val="0"/>
          <w:sz w:val="28"/>
          <w:szCs w:val="28"/>
          <w:lang w:val="en-US" w:eastAsia="zh-CN"/>
        </w:rPr>
        <w:t>2024年钛白粉拟在建装置产能已边际收窄。根据卓创资讯数据，2024年在建的钛白粉产能主要包括国城化工、燕钢吉诚、惠云钛业、中核钛白、云天化、顺风钛业的装置，合计约68万吨产能，较23年拟建产能已有边际收窄。</w:t>
      </w:r>
    </w:p>
    <w:p w14:paraId="6F2D28DF">
      <w:pPr>
        <w:numPr>
          <w:ilvl w:val="0"/>
          <w:numId w:val="1"/>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进出口情况</w:t>
      </w:r>
    </w:p>
    <w:p w14:paraId="6A41F7B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钛白粉出口量显著上升。2024年6月钛白粉进口量为0.76万吨，同比上升6.6%，1-6 月累计同比上升 48%。2024年6月钛白粉出口量为17.6万吨，同比上升40.5%，1-6 月累计同比上升16.3%。</w:t>
      </w:r>
    </w:p>
    <w:p w14:paraId="5D741948">
      <w:pPr>
        <w:ind w:firstLine="420" w:firstLineChars="200"/>
        <w:jc w:val="left"/>
        <w:rPr>
          <w:rFonts w:hint="eastAsia" w:ascii="仿宋" w:hAnsi="仿宋" w:eastAsia="仿宋" w:cs="仿宋"/>
          <w:b w:val="0"/>
          <w:bCs w:val="0"/>
          <w:sz w:val="28"/>
          <w:szCs w:val="28"/>
          <w:lang w:val="en-US" w:eastAsia="zh-CN"/>
        </w:rPr>
      </w:pPr>
      <w:r>
        <w:drawing>
          <wp:inline distT="0" distB="0" distL="114300" distR="114300">
            <wp:extent cx="5272405" cy="3536315"/>
            <wp:effectExtent l="0" t="0" r="444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a:stretch>
                      <a:fillRect/>
                    </a:stretch>
                  </pic:blipFill>
                  <pic:spPr>
                    <a:xfrm>
                      <a:off x="0" y="0"/>
                      <a:ext cx="5272405" cy="3536315"/>
                    </a:xfrm>
                    <a:prstGeom prst="rect">
                      <a:avLst/>
                    </a:prstGeom>
                    <a:noFill/>
                    <a:ln>
                      <a:noFill/>
                    </a:ln>
                  </pic:spPr>
                </pic:pic>
              </a:graphicData>
            </a:graphic>
          </wp:inline>
        </w:drawing>
      </w:r>
    </w:p>
    <w:p w14:paraId="4E4498D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海外发展中国家需求预计将持续拉动出口。从出口国别来看，印度占比14.9%，巴西占比 7.5%，土耳其占比5.66%，大多数国家出口量都有显著增加。我们认为诸如印度、巴西以及东南亚等发展中国家经济高速发展带来的需求增长将持续拉动中国钛白粉出口量。</w:t>
      </w:r>
    </w:p>
    <w:p w14:paraId="24CC1344">
      <w:pPr>
        <w:ind w:firstLine="420" w:firstLineChars="200"/>
        <w:jc w:val="left"/>
        <w:rPr>
          <w:rFonts w:hint="eastAsia" w:ascii="仿宋" w:hAnsi="仿宋" w:eastAsia="仿宋" w:cs="仿宋"/>
          <w:b w:val="0"/>
          <w:bCs w:val="0"/>
          <w:sz w:val="28"/>
          <w:szCs w:val="28"/>
          <w:lang w:val="en-US" w:eastAsia="zh-CN"/>
        </w:rPr>
      </w:pPr>
      <w:r>
        <w:drawing>
          <wp:inline distT="0" distB="0" distL="114300" distR="114300">
            <wp:extent cx="5271135" cy="3173730"/>
            <wp:effectExtent l="0" t="0" r="5715"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2"/>
                    <a:stretch>
                      <a:fillRect/>
                    </a:stretch>
                  </pic:blipFill>
                  <pic:spPr>
                    <a:xfrm>
                      <a:off x="0" y="0"/>
                      <a:ext cx="5271135" cy="3173730"/>
                    </a:xfrm>
                    <a:prstGeom prst="rect">
                      <a:avLst/>
                    </a:prstGeom>
                    <a:noFill/>
                    <a:ln>
                      <a:noFill/>
                    </a:ln>
                  </pic:spPr>
                </pic:pic>
              </a:graphicData>
            </a:graphic>
          </wp:inline>
        </w:drawing>
      </w:r>
    </w:p>
    <w:p w14:paraId="2143CAA2">
      <w:pPr>
        <w:numPr>
          <w:ilvl w:val="0"/>
          <w:numId w:val="1"/>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 下游需求跟踪</w:t>
      </w:r>
    </w:p>
    <w:p w14:paraId="0FFF80C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下游地产景气有望企稳，塑料、造纸、汽车等领域稳增长。钛白粉下游需求占比为涂料58%（建筑涂料24%、 防护包装17%、工业涂料9%、汽车涂料8%），塑料22%、造纸7%、油墨4%，其他9%。建筑涂料市场和房地产关联度高，近几年房地产景气度下滑一定程度上影响需求，但我们认为今年以来房地产相关政策不断出台，政策力度持续加大，地产市场有望回稳从而提振涂料需求。其他下游包括塑料、造纸、汽车等领域，行业呈现稳增长趋势。</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18544152">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35DD64AB">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4AE9F747">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747F6B6E">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35848957">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1718D80D">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7A093CED">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6CE6190F">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72303FC1">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4D37D453">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339E3DCA">
      <w:pPr>
        <w:ind w:firstLine="562" w:firstLineChars="200"/>
        <w:jc w:val="left"/>
        <w:rPr>
          <w:rFonts w:hint="eastAsia" w:ascii="仿宋" w:hAnsi="仿宋" w:eastAsia="仿宋" w:cs="仿宋"/>
          <w:b w:val="0"/>
          <w:bCs w:val="0"/>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C35D021">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03220B95">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016C7053">
      <w:pPr>
        <w:ind w:firstLine="562" w:firstLineChars="200"/>
        <w:jc w:val="left"/>
        <w:rPr>
          <w:rFonts w:hint="eastAsia" w:ascii="仿宋" w:hAnsi="仿宋" w:eastAsia="仿宋" w:cs="仿宋"/>
          <w:b/>
          <w:bCs/>
          <w:sz w:val="28"/>
          <w:szCs w:val="28"/>
        </w:rPr>
      </w:pPr>
      <w:bookmarkStart w:id="0" w:name="_GoBack"/>
      <w:bookmarkEnd w:id="0"/>
    </w:p>
    <w:p w14:paraId="23AEAB8B">
      <w:pPr>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CDEC9">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9" name="组合 9"/>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10" name="组合 4"/>
                      <wpg:cNvGrpSpPr/>
                      <wpg:grpSpPr>
                        <a:xfrm>
                          <a:off x="899" y="303"/>
                          <a:ext cx="11923" cy="911"/>
                          <a:chOff x="899" y="303"/>
                          <a:chExt cx="11923" cy="911"/>
                        </a:xfrm>
                      </wpg:grpSpPr>
                      <wps:wsp>
                        <wps:cNvPr id="11"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2"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3" name="文本框 5"/>
                      <wps:cNvSpPr txBox="1"/>
                      <wps:spPr>
                        <a:xfrm>
                          <a:off x="1116" y="403"/>
                          <a:ext cx="5112"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38F001">
                            <w:pP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">
              <o:lock v:ext="edit" aspectratio="f"/>
              <v:group id="组合 4" o:spid="_x0000_s1026" o:spt="203" style="position:absolute;left:899;top:303;height:911;width:11923;" coordorigin="899,303" coordsize="11923,911" o:gfxdata="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IOkRW+AAAA2w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6JhXr7oAAADb&#10;AAAADwAAAGRycy9kb3ducmV2LnhtbEVPS4vCMBC+C/6HMIIXWdMqLFKNHsQFD3vxwXodkrEtdial&#10;yVr33xtB2Nt8fM9ZbR7cqDt1ofZiIJ9moEisd7WUBs6nr48FqBBRHDZeyMAfBdish4MVFs73cqD7&#10;MZYqhUgo0EAVY1toHWxFjGHqW5LEXX3HGBPsSu067FM4N3qWZZ+asZbUUGFL24rs7fjLBhbfu7O9&#10;7S/cN/mJ55MZlxf7Y8x4lGdLUJEe8V/8du9dmp/D65d0gF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omFevugAAANsA&#10;AAAPAAAAAAAAAAEAIAAAACIAAABkcnMvZG93bnJldi54bWxQSwECFAAUAAAACACHTuJAMy8FnjsA&#10;AAA5AAAAEAAAAAAAAAABACAAAAAJAQAAZHJzL3NoYXBleG1sLnhtbFBLBQYAAAAABgAGAFsBAACz&#10;Aw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DydDsLoAAADb&#10;AAAADwAAAGRycy9kb3ducmV2LnhtbEVPTYvCMBC9C/sfwizszaZ6EO0ahRUED3rQ6n1oZptqM+k2&#10;0Xb99UYQvM3jfc582dta3Kj1lWMFoyQFQVw4XXGp4Jivh1MQPiBrrB2Tgn/ysFx8DOaYadfxnm6H&#10;UIoYwj5DBSaEJpPSF4Ys+sQ1xJH7da3FEGFbSt1iF8NtLcdpOpEWK44NBhtaGSouh6tVsMvzzTqs&#10;+p/TdXbOt3fzN9XdRKmvz1H6DSJQH97il3uj4/wxPH+JB8jF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PJ0OwugAAANsA&#10;AAAPAAAAAAAAAAEAIAAAACIAAABkcnMvZG93bnJldi54bWxQSwECFAAUAAAACACHTuJAMy8FnjsA&#10;AAA5AAAAEAAAAAAAAAABACAAAAAJAQAAZHJzL3NoYXBleG1sLnhtbFBLBQYAAAAABgAGAFsBAACz&#10;Aw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112;" filled="f" stroked="f" coordsize="21600,21600" o:gfxdata="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v21/e8AAAA&#10;2w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14:paraId="5F38F001">
                      <w:pP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5341D2"/>
    <w:multiLevelType w:val="singleLevel"/>
    <w:tmpl w:val="9A5341D2"/>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2B913EC"/>
    <w:rsid w:val="02CA179F"/>
    <w:rsid w:val="02FE20CD"/>
    <w:rsid w:val="03546191"/>
    <w:rsid w:val="05DC4B7A"/>
    <w:rsid w:val="06D94086"/>
    <w:rsid w:val="07E15804"/>
    <w:rsid w:val="098C0CFB"/>
    <w:rsid w:val="0BB30DED"/>
    <w:rsid w:val="0BD75567"/>
    <w:rsid w:val="0D7C07BE"/>
    <w:rsid w:val="0DD43A3C"/>
    <w:rsid w:val="0F3021AE"/>
    <w:rsid w:val="10615A49"/>
    <w:rsid w:val="12727EA3"/>
    <w:rsid w:val="12EE2A8B"/>
    <w:rsid w:val="13270D7A"/>
    <w:rsid w:val="14294AD0"/>
    <w:rsid w:val="145D0D13"/>
    <w:rsid w:val="14AC764E"/>
    <w:rsid w:val="14B26B80"/>
    <w:rsid w:val="153B2D0D"/>
    <w:rsid w:val="155838BF"/>
    <w:rsid w:val="166B462C"/>
    <w:rsid w:val="168B3820"/>
    <w:rsid w:val="1783759C"/>
    <w:rsid w:val="17D35235"/>
    <w:rsid w:val="180B049B"/>
    <w:rsid w:val="187B50E8"/>
    <w:rsid w:val="19461C80"/>
    <w:rsid w:val="19565959"/>
    <w:rsid w:val="19656A5A"/>
    <w:rsid w:val="19B45BCA"/>
    <w:rsid w:val="19C73562"/>
    <w:rsid w:val="1A2D7A1F"/>
    <w:rsid w:val="1C442E6B"/>
    <w:rsid w:val="1D525FA2"/>
    <w:rsid w:val="1E403142"/>
    <w:rsid w:val="1EC16D10"/>
    <w:rsid w:val="21CE14B8"/>
    <w:rsid w:val="22014652"/>
    <w:rsid w:val="226338A3"/>
    <w:rsid w:val="233A3AAB"/>
    <w:rsid w:val="23F549CE"/>
    <w:rsid w:val="24394AB8"/>
    <w:rsid w:val="24703491"/>
    <w:rsid w:val="24AD7057"/>
    <w:rsid w:val="253D3903"/>
    <w:rsid w:val="27743E5C"/>
    <w:rsid w:val="27F37477"/>
    <w:rsid w:val="28B81403"/>
    <w:rsid w:val="28E3573D"/>
    <w:rsid w:val="2A9A62D0"/>
    <w:rsid w:val="2ACA1641"/>
    <w:rsid w:val="2BA84F24"/>
    <w:rsid w:val="2BE43B4A"/>
    <w:rsid w:val="2BF81500"/>
    <w:rsid w:val="2C0167A4"/>
    <w:rsid w:val="2DB41456"/>
    <w:rsid w:val="2DE14EBB"/>
    <w:rsid w:val="2DEF2105"/>
    <w:rsid w:val="2E8F6852"/>
    <w:rsid w:val="2E9D638E"/>
    <w:rsid w:val="2EB3713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742860"/>
    <w:rsid w:val="3C087AF1"/>
    <w:rsid w:val="3D8C6ADA"/>
    <w:rsid w:val="3DDA0A65"/>
    <w:rsid w:val="3E1A70B4"/>
    <w:rsid w:val="3F7D5B4C"/>
    <w:rsid w:val="3FC46AE7"/>
    <w:rsid w:val="419D24D5"/>
    <w:rsid w:val="41DD28D2"/>
    <w:rsid w:val="44246EDE"/>
    <w:rsid w:val="44ED72D0"/>
    <w:rsid w:val="45F572A7"/>
    <w:rsid w:val="46362EF9"/>
    <w:rsid w:val="46B00D49"/>
    <w:rsid w:val="471C5C4A"/>
    <w:rsid w:val="47E0311C"/>
    <w:rsid w:val="47FC6BF4"/>
    <w:rsid w:val="48FC3F85"/>
    <w:rsid w:val="49940F29"/>
    <w:rsid w:val="49DF6CB2"/>
    <w:rsid w:val="4A255B06"/>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BC31DC"/>
    <w:rsid w:val="64002BE9"/>
    <w:rsid w:val="64AA2690"/>
    <w:rsid w:val="661C64F2"/>
    <w:rsid w:val="6635067F"/>
    <w:rsid w:val="66CD2666"/>
    <w:rsid w:val="66E856F1"/>
    <w:rsid w:val="676A4BDC"/>
    <w:rsid w:val="682664D1"/>
    <w:rsid w:val="6846773F"/>
    <w:rsid w:val="685C1EF3"/>
    <w:rsid w:val="69A36249"/>
    <w:rsid w:val="6A624A2F"/>
    <w:rsid w:val="6A633B05"/>
    <w:rsid w:val="6AF311A6"/>
    <w:rsid w:val="6B3A720F"/>
    <w:rsid w:val="6B796D44"/>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5D51537"/>
    <w:rsid w:val="76051E1C"/>
    <w:rsid w:val="769A2923"/>
    <w:rsid w:val="7709593C"/>
    <w:rsid w:val="7719746F"/>
    <w:rsid w:val="773062C6"/>
    <w:rsid w:val="779969FD"/>
    <w:rsid w:val="7879277A"/>
    <w:rsid w:val="789F0098"/>
    <w:rsid w:val="79C505D8"/>
    <w:rsid w:val="7B1F5CAB"/>
    <w:rsid w:val="7B762C35"/>
    <w:rsid w:val="7DC050DC"/>
    <w:rsid w:val="7E2968C4"/>
    <w:rsid w:val="7E631DD5"/>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1289</Words>
  <Characters>1448</Characters>
  <Lines>0</Lines>
  <Paragraphs>0</Paragraphs>
  <TotalTime>0</TotalTime>
  <ScaleCrop>false</ScaleCrop>
  <LinksUpToDate>false</LinksUpToDate>
  <CharactersWithSpaces>1489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2024-09-26T02:04:50Z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