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7E492D">
      <w:pPr>
        <w:jc w:val="center"/>
        <w:rPr>
          <w:rFonts w:ascii="Segoe UI" w:hAnsi="Segoe UI" w:cs="Segoe UI"/>
          <w:b/>
          <w:sz w:val="23"/>
          <w:szCs w:val="23"/>
        </w:rPr>
      </w:pPr>
      <w:bookmarkStart w:id="0" w:name="_GoBack"/>
      <w:r>
        <w:rPr>
          <w:rFonts w:hint="eastAsia" w:ascii="Segoe UI" w:hAnsi="Segoe UI" w:cs="Segoe UI"/>
          <w:b/>
          <w:sz w:val="23"/>
          <w:szCs w:val="23"/>
        </w:rPr>
        <w:t>一分钟</w:t>
      </w:r>
      <w:r>
        <w:rPr>
          <w:rFonts w:ascii="Segoe UI" w:hAnsi="Segoe UI" w:cs="Segoe UI"/>
          <w:b/>
          <w:sz w:val="23"/>
          <w:szCs w:val="23"/>
        </w:rPr>
        <w:t>了解</w:t>
      </w:r>
      <w:r>
        <w:rPr>
          <w:rFonts w:hint="eastAsia" w:ascii="Segoe UI" w:hAnsi="Segoe UI" w:cs="Segoe UI"/>
          <w:b/>
          <w:sz w:val="23"/>
          <w:szCs w:val="23"/>
        </w:rPr>
        <w:t>丨你的产品在不在BS476-7防火测试要求内</w:t>
      </w:r>
    </w:p>
    <w:bookmarkEnd w:id="0"/>
    <w:p w14:paraId="3B816604">
      <w:pPr>
        <w:rPr>
          <w:rFonts w:ascii="Segoe UI" w:hAnsi="Segoe UI" w:cs="Segoe UI"/>
          <w:sz w:val="23"/>
          <w:szCs w:val="23"/>
        </w:rPr>
      </w:pPr>
    </w:p>
    <w:p w14:paraId="632E7AEE">
      <w:pPr>
        <w:rPr>
          <w:rFonts w:hint="eastAsia"/>
        </w:rPr>
      </w:pPr>
      <w:r>
        <w:rPr>
          <w:rFonts w:hint="eastAsia"/>
        </w:rPr>
        <w:t>BS 476-7 是英国关于建筑材料和结构的着火试验标准中，用于测定产品火焰表面延伸等级的测试方法。</w:t>
      </w:r>
    </w:p>
    <w:p w14:paraId="12768457">
      <w:pPr>
        <w:rPr>
          <w:rFonts w:hint="eastAsia"/>
        </w:rPr>
      </w:pPr>
    </w:p>
    <w:p w14:paraId="2EF4B33B">
      <w:pPr>
        <w:rPr>
          <w:rFonts w:hint="eastAsia"/>
          <w:b/>
        </w:rPr>
      </w:pPr>
      <w:r>
        <w:rPr>
          <w:rFonts w:hint="eastAsia"/>
          <w:b/>
        </w:rPr>
        <w:t>标准要求的产品范围：</w:t>
      </w:r>
    </w:p>
    <w:p w14:paraId="20526AF0">
      <w:pPr>
        <w:rPr>
          <w:rFonts w:hint="eastAsia"/>
        </w:rPr>
      </w:pPr>
      <w:r>
        <w:rPr>
          <w:rFonts w:hint="eastAsia"/>
        </w:rPr>
        <w:t>BS 476-7防火测试适用于各种类型的建筑材料和制品，包括墙壁、天花板、地板、隔墙、门、窗框、绝缘材料等，主要用于测定墙面、保温材料、天花板等建筑材料暴露表面的火焰延伸情况。</w:t>
      </w:r>
    </w:p>
    <w:p w14:paraId="51F9B91F">
      <w:pPr>
        <w:rPr>
          <w:rFonts w:hint="eastAsia"/>
          <w:b/>
        </w:rPr>
      </w:pPr>
    </w:p>
    <w:p w14:paraId="3142680F">
      <w:pPr>
        <w:rPr>
          <w:rFonts w:hint="eastAsia"/>
          <w:b/>
        </w:rPr>
      </w:pPr>
      <w:r>
        <w:rPr>
          <w:rFonts w:hint="eastAsia"/>
          <w:b/>
        </w:rPr>
        <w:t>常见的测试材料包括：</w:t>
      </w:r>
    </w:p>
    <w:p w14:paraId="266C590B">
      <w:pPr>
        <w:rPr>
          <w:rFonts w:hint="eastAsia"/>
        </w:rPr>
      </w:pPr>
      <w:r>
        <w:rPr>
          <w:rFonts w:hint="eastAsia"/>
        </w:rPr>
        <w:t>玻璃钢，塑料件，显示屏，墙板，各类型板材，岩棉，发泡等</w:t>
      </w:r>
    </w:p>
    <w:p w14:paraId="05CEEBF6">
      <w:pPr>
        <w:rPr>
          <w:rFonts w:hint="eastAsia"/>
        </w:rPr>
      </w:pPr>
    </w:p>
    <w:p w14:paraId="13D86514">
      <w:pPr>
        <w:rPr>
          <w:rFonts w:hint="eastAsia"/>
        </w:rPr>
      </w:pPr>
      <w:r>
        <w:rPr>
          <w:rFonts w:hint="eastAsia"/>
        </w:rPr>
        <w:t>备注：之前香港显示屏发生了火灾，故而目前要销往香港的显示屏都会要求做BS476-7防火测试。</w:t>
      </w:r>
    </w:p>
    <w:p w14:paraId="2ED1D787"/>
    <w:p w14:paraId="768578BB">
      <w:pPr>
        <w:rPr>
          <w:rFonts w:hint="eastAsia"/>
          <w:b/>
        </w:rPr>
      </w:pPr>
      <w:r>
        <w:rPr>
          <w:rFonts w:hint="eastAsia"/>
          <w:b/>
        </w:rPr>
        <w:t>BS 476-7是怎么测试的呢？</w:t>
      </w:r>
    </w:p>
    <w:p w14:paraId="2BF4D3D7">
      <w:pPr>
        <w:rPr>
          <w:b/>
        </w:rPr>
      </w:pPr>
      <w:r>
        <w:rPr>
          <w:rFonts w:hint="eastAsia"/>
          <w:b/>
        </w:rPr>
        <w:t>测试步骤如下：</w:t>
      </w:r>
    </w:p>
    <w:p w14:paraId="5A8A2C29">
      <w:pPr>
        <w:pStyle w:val="4"/>
        <w:numPr>
          <w:ilvl w:val="0"/>
          <w:numId w:val="1"/>
        </w:numPr>
        <w:ind w:firstLineChars="0"/>
      </w:pPr>
      <w:r>
        <w:rPr>
          <w:rFonts w:hint="eastAsia"/>
        </w:rPr>
        <w:t>点燃引燃火焰</w:t>
      </w:r>
    </w:p>
    <w:p w14:paraId="1DF298A0">
      <w:pPr>
        <w:pStyle w:val="4"/>
        <w:numPr>
          <w:ilvl w:val="0"/>
          <w:numId w:val="1"/>
        </w:numPr>
        <w:ind w:firstLineChars="0"/>
      </w:pPr>
      <w:r>
        <w:rPr>
          <w:rFonts w:hint="eastAsia"/>
        </w:rPr>
        <w:t>在 5 秒时间内，摆动样品夹，并放到测试位置上，接下来立即开启定时机构，也就是开始测试。</w:t>
      </w:r>
    </w:p>
    <w:p w14:paraId="2C2F8238">
      <w:pPr>
        <w:pStyle w:val="4"/>
        <w:numPr>
          <w:ilvl w:val="0"/>
          <w:numId w:val="1"/>
        </w:numPr>
        <w:ind w:firstLineChars="0"/>
      </w:pPr>
      <w:r>
        <w:rPr>
          <w:rFonts w:hint="eastAsia"/>
        </w:rPr>
        <w:t>在测试开始后一分钟内熄灭引燃火焰。</w:t>
      </w:r>
    </w:p>
    <w:p w14:paraId="694CF1F5">
      <w:pPr>
        <w:pStyle w:val="4"/>
        <w:numPr>
          <w:ilvl w:val="0"/>
          <w:numId w:val="1"/>
        </w:numPr>
        <w:ind w:firstLineChars="0"/>
      </w:pPr>
      <w:r>
        <w:rPr>
          <w:rFonts w:hint="eastAsia"/>
        </w:rPr>
        <w:t>在火焰头达到 825 毫米的参考线时，或经过 10 分钟后，无论哪一个更短都要停止该测试。</w:t>
      </w:r>
    </w:p>
    <w:p w14:paraId="70AAED1D">
      <w:pPr>
        <w:rPr>
          <w:b/>
        </w:rPr>
      </w:pPr>
    </w:p>
    <w:p w14:paraId="5FAA009A">
      <w:pPr>
        <w:rPr>
          <w:b/>
        </w:rPr>
      </w:pPr>
      <w:r>
        <w:rPr>
          <w:rFonts w:hint="eastAsia"/>
          <w:b/>
        </w:rPr>
        <w:t>BS476-7等级判定：</w:t>
      </w:r>
    </w:p>
    <w:tbl>
      <w:tblPr>
        <w:tblStyle w:val="2"/>
        <w:tblW w:w="7560" w:type="dxa"/>
        <w:tblInd w:w="0" w:type="dxa"/>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shd w:val="clear" w:color="auto" w:fill="FFFFFF"/>
        <w:tblLayout w:type="autofit"/>
        <w:tblCellMar>
          <w:top w:w="15" w:type="dxa"/>
          <w:left w:w="15" w:type="dxa"/>
          <w:bottom w:w="15" w:type="dxa"/>
          <w:right w:w="15" w:type="dxa"/>
        </w:tblCellMar>
      </w:tblPr>
      <w:tblGrid>
        <w:gridCol w:w="900"/>
        <w:gridCol w:w="1260"/>
        <w:gridCol w:w="1800"/>
        <w:gridCol w:w="1575"/>
        <w:gridCol w:w="2025"/>
      </w:tblGrid>
      <w:tr w14:paraId="11039020">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shd w:val="clear" w:color="auto" w:fill="FFFFFF"/>
          <w:tblCellMar>
            <w:top w:w="15" w:type="dxa"/>
            <w:left w:w="15" w:type="dxa"/>
            <w:bottom w:w="15" w:type="dxa"/>
            <w:right w:w="15" w:type="dxa"/>
          </w:tblCellMar>
        </w:tblPrEx>
        <w:tc>
          <w:tcPr>
            <w:tcW w:w="900" w:type="dxa"/>
            <w:vMerge w:val="restart"/>
            <w:tcBorders>
              <w:top w:val="outset" w:color="auto" w:sz="6" w:space="0"/>
              <w:left w:val="outset" w:color="auto" w:sz="6" w:space="0"/>
              <w:bottom w:val="outset" w:color="auto" w:sz="6" w:space="0"/>
              <w:right w:val="outset" w:color="auto" w:sz="6" w:space="0"/>
            </w:tcBorders>
            <w:shd w:val="clear" w:color="auto" w:fill="FFFFFF"/>
            <w:tcMar>
              <w:top w:w="0" w:type="dxa"/>
              <w:left w:w="0" w:type="dxa"/>
              <w:bottom w:w="0" w:type="dxa"/>
              <w:right w:w="0" w:type="dxa"/>
            </w:tcMar>
            <w:vAlign w:val="center"/>
          </w:tcPr>
          <w:p w14:paraId="66080149">
            <w:pPr>
              <w:spacing w:line="0" w:lineRule="atLeast"/>
              <w:jc w:val="center"/>
              <w:rPr>
                <w:rFonts w:asciiTheme="minorEastAsia" w:hAnsiTheme="minorEastAsia"/>
                <w:szCs w:val="21"/>
              </w:rPr>
            </w:pPr>
            <w:r>
              <w:rPr>
                <w:rFonts w:asciiTheme="minorEastAsia" w:hAnsiTheme="minorEastAsia"/>
                <w:szCs w:val="21"/>
              </w:rPr>
              <w:t>级别</w:t>
            </w:r>
          </w:p>
        </w:tc>
        <w:tc>
          <w:tcPr>
            <w:tcW w:w="3060" w:type="dxa"/>
            <w:gridSpan w:val="2"/>
            <w:tcBorders>
              <w:top w:val="outset" w:color="auto" w:sz="6" w:space="0"/>
              <w:left w:val="outset" w:color="auto" w:sz="6" w:space="0"/>
              <w:bottom w:val="outset" w:color="auto" w:sz="6" w:space="0"/>
              <w:right w:val="outset" w:color="auto" w:sz="6" w:space="0"/>
            </w:tcBorders>
            <w:shd w:val="clear" w:color="auto" w:fill="FFFFFF"/>
            <w:tcMar>
              <w:top w:w="0" w:type="dxa"/>
              <w:left w:w="0" w:type="dxa"/>
              <w:bottom w:w="0" w:type="dxa"/>
              <w:right w:w="0" w:type="dxa"/>
            </w:tcMar>
            <w:vAlign w:val="center"/>
          </w:tcPr>
          <w:p w14:paraId="79DF4A01">
            <w:pPr>
              <w:spacing w:line="0" w:lineRule="atLeast"/>
              <w:jc w:val="center"/>
              <w:rPr>
                <w:rFonts w:asciiTheme="minorEastAsia" w:hAnsiTheme="minorEastAsia"/>
                <w:szCs w:val="21"/>
              </w:rPr>
            </w:pPr>
            <w:r>
              <w:rPr>
                <w:rFonts w:asciiTheme="minorEastAsia" w:hAnsiTheme="minorEastAsia"/>
                <w:szCs w:val="21"/>
              </w:rPr>
              <w:t>试验1.5min时的火焰传播程度</w:t>
            </w:r>
          </w:p>
        </w:tc>
        <w:tc>
          <w:tcPr>
            <w:tcW w:w="3600" w:type="dxa"/>
            <w:gridSpan w:val="2"/>
            <w:tcBorders>
              <w:top w:val="outset" w:color="auto" w:sz="6" w:space="0"/>
              <w:left w:val="outset" w:color="auto" w:sz="6" w:space="0"/>
              <w:bottom w:val="outset" w:color="auto" w:sz="6" w:space="0"/>
              <w:right w:val="outset" w:color="auto" w:sz="6" w:space="0"/>
            </w:tcBorders>
            <w:shd w:val="clear" w:color="auto" w:fill="FFFFFF"/>
            <w:tcMar>
              <w:top w:w="0" w:type="dxa"/>
              <w:left w:w="0" w:type="dxa"/>
              <w:bottom w:w="0" w:type="dxa"/>
              <w:right w:w="0" w:type="dxa"/>
            </w:tcMar>
            <w:vAlign w:val="center"/>
          </w:tcPr>
          <w:p w14:paraId="408D6CBB">
            <w:pPr>
              <w:spacing w:line="0" w:lineRule="atLeast"/>
              <w:jc w:val="center"/>
              <w:rPr>
                <w:rFonts w:asciiTheme="minorEastAsia" w:hAnsiTheme="minorEastAsia"/>
                <w:szCs w:val="21"/>
              </w:rPr>
            </w:pPr>
            <w:r>
              <w:rPr>
                <w:rFonts w:asciiTheme="minorEastAsia" w:hAnsiTheme="minorEastAsia"/>
                <w:szCs w:val="21"/>
              </w:rPr>
              <w:t>试验终了时的火焰传播程度</w:t>
            </w:r>
          </w:p>
        </w:tc>
      </w:tr>
      <w:tr w14:paraId="6A7F0D1E">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15" w:type="dxa"/>
            <w:left w:w="15" w:type="dxa"/>
            <w:bottom w:w="15" w:type="dxa"/>
            <w:right w:w="15" w:type="dxa"/>
          </w:tblCellMar>
        </w:tblPrEx>
        <w:tc>
          <w:tcPr>
            <w:tcW w:w="0" w:type="auto"/>
            <w:vMerge w:val="continue"/>
            <w:tcBorders>
              <w:top w:val="outset" w:color="auto" w:sz="6" w:space="0"/>
              <w:left w:val="outset" w:color="auto" w:sz="6" w:space="0"/>
              <w:bottom w:val="outset" w:color="auto" w:sz="6" w:space="0"/>
              <w:right w:val="outset" w:color="auto" w:sz="6" w:space="0"/>
            </w:tcBorders>
            <w:shd w:val="clear" w:color="auto" w:fill="FFFFFF"/>
            <w:vAlign w:val="center"/>
          </w:tcPr>
          <w:p w14:paraId="4C782A33">
            <w:pPr>
              <w:spacing w:line="0" w:lineRule="atLeast"/>
              <w:jc w:val="center"/>
              <w:rPr>
                <w:rFonts w:asciiTheme="minorEastAsia" w:hAnsiTheme="minorEastAsia"/>
                <w:szCs w:val="21"/>
              </w:rPr>
            </w:pPr>
          </w:p>
        </w:tc>
        <w:tc>
          <w:tcPr>
            <w:tcW w:w="1260" w:type="dxa"/>
            <w:tcBorders>
              <w:top w:val="outset" w:color="auto" w:sz="6" w:space="0"/>
              <w:left w:val="outset" w:color="auto" w:sz="6" w:space="0"/>
              <w:bottom w:val="outset" w:color="auto" w:sz="6" w:space="0"/>
              <w:right w:val="outset" w:color="auto" w:sz="6" w:space="0"/>
            </w:tcBorders>
            <w:shd w:val="clear" w:color="auto" w:fill="FFFFFF"/>
            <w:tcMar>
              <w:top w:w="0" w:type="dxa"/>
              <w:left w:w="0" w:type="dxa"/>
              <w:bottom w:w="0" w:type="dxa"/>
              <w:right w:w="0" w:type="dxa"/>
            </w:tcMar>
            <w:vAlign w:val="center"/>
          </w:tcPr>
          <w:p w14:paraId="3278FC37">
            <w:pPr>
              <w:spacing w:line="0" w:lineRule="atLeast"/>
              <w:jc w:val="center"/>
              <w:rPr>
                <w:rFonts w:asciiTheme="minorEastAsia" w:hAnsiTheme="minorEastAsia"/>
                <w:szCs w:val="21"/>
              </w:rPr>
            </w:pPr>
            <w:r>
              <w:rPr>
                <w:rFonts w:asciiTheme="minorEastAsia" w:hAnsiTheme="minorEastAsia"/>
                <w:szCs w:val="21"/>
              </w:rPr>
              <w:t>极限值mm</w:t>
            </w:r>
          </w:p>
        </w:tc>
        <w:tc>
          <w:tcPr>
            <w:tcW w:w="1800" w:type="dxa"/>
            <w:tcBorders>
              <w:top w:val="outset" w:color="auto" w:sz="6" w:space="0"/>
              <w:left w:val="outset" w:color="auto" w:sz="6" w:space="0"/>
              <w:bottom w:val="outset" w:color="auto" w:sz="6" w:space="0"/>
              <w:right w:val="outset" w:color="auto" w:sz="6" w:space="0"/>
            </w:tcBorders>
            <w:shd w:val="clear" w:color="auto" w:fill="FFFFFF"/>
            <w:tcMar>
              <w:top w:w="0" w:type="dxa"/>
              <w:left w:w="0" w:type="dxa"/>
              <w:bottom w:w="0" w:type="dxa"/>
              <w:right w:w="0" w:type="dxa"/>
            </w:tcMar>
            <w:vAlign w:val="center"/>
          </w:tcPr>
          <w:p w14:paraId="3A60E835">
            <w:pPr>
              <w:spacing w:line="0" w:lineRule="atLeast"/>
              <w:jc w:val="center"/>
              <w:rPr>
                <w:rFonts w:asciiTheme="minorEastAsia" w:hAnsiTheme="minorEastAsia"/>
                <w:szCs w:val="21"/>
              </w:rPr>
            </w:pPr>
            <w:r>
              <w:rPr>
                <w:rFonts w:asciiTheme="minorEastAsia" w:hAnsiTheme="minorEastAsia"/>
                <w:szCs w:val="21"/>
              </w:rPr>
              <w:t>允许偏差值mm</w:t>
            </w:r>
          </w:p>
        </w:tc>
        <w:tc>
          <w:tcPr>
            <w:tcW w:w="1575" w:type="dxa"/>
            <w:tcBorders>
              <w:top w:val="outset" w:color="auto" w:sz="6" w:space="0"/>
              <w:left w:val="outset" w:color="auto" w:sz="6" w:space="0"/>
              <w:bottom w:val="outset" w:color="auto" w:sz="6" w:space="0"/>
              <w:right w:val="outset" w:color="auto" w:sz="6" w:space="0"/>
            </w:tcBorders>
            <w:shd w:val="clear" w:color="auto" w:fill="FFFFFF"/>
            <w:tcMar>
              <w:top w:w="0" w:type="dxa"/>
              <w:left w:w="0" w:type="dxa"/>
              <w:bottom w:w="0" w:type="dxa"/>
              <w:right w:w="0" w:type="dxa"/>
            </w:tcMar>
            <w:vAlign w:val="center"/>
          </w:tcPr>
          <w:p w14:paraId="70839D35">
            <w:pPr>
              <w:spacing w:line="0" w:lineRule="atLeast"/>
              <w:jc w:val="center"/>
              <w:rPr>
                <w:rFonts w:asciiTheme="minorEastAsia" w:hAnsiTheme="minorEastAsia"/>
                <w:szCs w:val="21"/>
              </w:rPr>
            </w:pPr>
            <w:r>
              <w:rPr>
                <w:rFonts w:asciiTheme="minorEastAsia" w:hAnsiTheme="minorEastAsia"/>
                <w:szCs w:val="21"/>
              </w:rPr>
              <w:t>极限值mm</w:t>
            </w:r>
          </w:p>
        </w:tc>
        <w:tc>
          <w:tcPr>
            <w:tcW w:w="2025" w:type="dxa"/>
            <w:tcBorders>
              <w:top w:val="outset" w:color="auto" w:sz="6" w:space="0"/>
              <w:left w:val="outset" w:color="auto" w:sz="6" w:space="0"/>
              <w:bottom w:val="outset" w:color="auto" w:sz="6" w:space="0"/>
              <w:right w:val="outset" w:color="auto" w:sz="6" w:space="0"/>
            </w:tcBorders>
            <w:shd w:val="clear" w:color="auto" w:fill="FFFFFF"/>
            <w:tcMar>
              <w:top w:w="0" w:type="dxa"/>
              <w:left w:w="0" w:type="dxa"/>
              <w:bottom w:w="0" w:type="dxa"/>
              <w:right w:w="0" w:type="dxa"/>
            </w:tcMar>
            <w:vAlign w:val="center"/>
          </w:tcPr>
          <w:p w14:paraId="273F549B">
            <w:pPr>
              <w:spacing w:line="0" w:lineRule="atLeast"/>
              <w:jc w:val="center"/>
              <w:rPr>
                <w:rFonts w:asciiTheme="minorEastAsia" w:hAnsiTheme="minorEastAsia"/>
                <w:szCs w:val="21"/>
              </w:rPr>
            </w:pPr>
            <w:r>
              <w:rPr>
                <w:rFonts w:asciiTheme="minorEastAsia" w:hAnsiTheme="minorEastAsia"/>
                <w:szCs w:val="21"/>
              </w:rPr>
              <w:t>一个试件允许偏差值mm</w:t>
            </w:r>
          </w:p>
        </w:tc>
      </w:tr>
      <w:tr w14:paraId="2CEA692B">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15" w:type="dxa"/>
            <w:left w:w="15" w:type="dxa"/>
            <w:bottom w:w="15" w:type="dxa"/>
            <w:right w:w="15" w:type="dxa"/>
          </w:tblCellMar>
        </w:tblPrEx>
        <w:tc>
          <w:tcPr>
            <w:tcW w:w="900" w:type="dxa"/>
            <w:tcBorders>
              <w:top w:val="outset" w:color="auto" w:sz="6" w:space="0"/>
              <w:left w:val="outset" w:color="auto" w:sz="6" w:space="0"/>
              <w:bottom w:val="outset" w:color="auto" w:sz="6" w:space="0"/>
              <w:right w:val="outset" w:color="auto" w:sz="6" w:space="0"/>
            </w:tcBorders>
            <w:shd w:val="clear" w:color="auto" w:fill="FFFFFF"/>
            <w:tcMar>
              <w:top w:w="0" w:type="dxa"/>
              <w:left w:w="0" w:type="dxa"/>
              <w:bottom w:w="0" w:type="dxa"/>
              <w:right w:w="0" w:type="dxa"/>
            </w:tcMar>
            <w:vAlign w:val="center"/>
          </w:tcPr>
          <w:p w14:paraId="689FA391">
            <w:pPr>
              <w:spacing w:line="0" w:lineRule="atLeast"/>
              <w:jc w:val="center"/>
              <w:rPr>
                <w:rFonts w:asciiTheme="minorEastAsia" w:hAnsiTheme="minorEastAsia"/>
                <w:szCs w:val="21"/>
              </w:rPr>
            </w:pPr>
            <w:r>
              <w:rPr>
                <w:rFonts w:asciiTheme="minorEastAsia" w:hAnsiTheme="minorEastAsia"/>
                <w:szCs w:val="21"/>
              </w:rPr>
              <w:t>1</w:t>
            </w:r>
          </w:p>
        </w:tc>
        <w:tc>
          <w:tcPr>
            <w:tcW w:w="1260" w:type="dxa"/>
            <w:tcBorders>
              <w:top w:val="outset" w:color="auto" w:sz="6" w:space="0"/>
              <w:left w:val="outset" w:color="auto" w:sz="6" w:space="0"/>
              <w:bottom w:val="outset" w:color="auto" w:sz="6" w:space="0"/>
              <w:right w:val="outset" w:color="auto" w:sz="6" w:space="0"/>
            </w:tcBorders>
            <w:shd w:val="clear" w:color="auto" w:fill="FFFFFF"/>
            <w:tcMar>
              <w:top w:w="0" w:type="dxa"/>
              <w:left w:w="0" w:type="dxa"/>
              <w:bottom w:w="0" w:type="dxa"/>
              <w:right w:w="0" w:type="dxa"/>
            </w:tcMar>
            <w:vAlign w:val="center"/>
          </w:tcPr>
          <w:p w14:paraId="2A08F064">
            <w:pPr>
              <w:spacing w:line="0" w:lineRule="atLeast"/>
              <w:jc w:val="center"/>
              <w:rPr>
                <w:rFonts w:asciiTheme="minorEastAsia" w:hAnsiTheme="minorEastAsia"/>
                <w:szCs w:val="21"/>
              </w:rPr>
            </w:pPr>
            <w:r>
              <w:rPr>
                <w:rFonts w:asciiTheme="minorEastAsia" w:hAnsiTheme="minorEastAsia"/>
                <w:szCs w:val="21"/>
              </w:rPr>
              <w:t>165</w:t>
            </w:r>
          </w:p>
        </w:tc>
        <w:tc>
          <w:tcPr>
            <w:tcW w:w="1800" w:type="dxa"/>
            <w:tcBorders>
              <w:top w:val="outset" w:color="auto" w:sz="6" w:space="0"/>
              <w:left w:val="outset" w:color="auto" w:sz="6" w:space="0"/>
              <w:bottom w:val="outset" w:color="auto" w:sz="6" w:space="0"/>
              <w:right w:val="outset" w:color="auto" w:sz="6" w:space="0"/>
            </w:tcBorders>
            <w:shd w:val="clear" w:color="auto" w:fill="FFFFFF"/>
            <w:tcMar>
              <w:top w:w="0" w:type="dxa"/>
              <w:left w:w="0" w:type="dxa"/>
              <w:bottom w:w="0" w:type="dxa"/>
              <w:right w:w="0" w:type="dxa"/>
            </w:tcMar>
            <w:vAlign w:val="center"/>
          </w:tcPr>
          <w:p w14:paraId="50297F22">
            <w:pPr>
              <w:spacing w:line="0" w:lineRule="atLeast"/>
              <w:jc w:val="center"/>
              <w:rPr>
                <w:rFonts w:asciiTheme="minorEastAsia" w:hAnsiTheme="minorEastAsia"/>
                <w:szCs w:val="21"/>
              </w:rPr>
            </w:pPr>
            <w:r>
              <w:rPr>
                <w:rFonts w:asciiTheme="minorEastAsia" w:hAnsiTheme="minorEastAsia"/>
                <w:szCs w:val="21"/>
              </w:rPr>
              <w:t>25</w:t>
            </w:r>
          </w:p>
        </w:tc>
        <w:tc>
          <w:tcPr>
            <w:tcW w:w="1575" w:type="dxa"/>
            <w:tcBorders>
              <w:top w:val="outset" w:color="auto" w:sz="6" w:space="0"/>
              <w:left w:val="outset" w:color="auto" w:sz="6" w:space="0"/>
              <w:bottom w:val="outset" w:color="auto" w:sz="6" w:space="0"/>
              <w:right w:val="outset" w:color="auto" w:sz="6" w:space="0"/>
            </w:tcBorders>
            <w:shd w:val="clear" w:color="auto" w:fill="FFFFFF"/>
            <w:tcMar>
              <w:top w:w="0" w:type="dxa"/>
              <w:left w:w="0" w:type="dxa"/>
              <w:bottom w:w="0" w:type="dxa"/>
              <w:right w:w="0" w:type="dxa"/>
            </w:tcMar>
            <w:vAlign w:val="center"/>
          </w:tcPr>
          <w:p w14:paraId="2C1BE49D">
            <w:pPr>
              <w:spacing w:line="0" w:lineRule="atLeast"/>
              <w:jc w:val="center"/>
              <w:rPr>
                <w:rFonts w:asciiTheme="minorEastAsia" w:hAnsiTheme="minorEastAsia"/>
                <w:szCs w:val="21"/>
              </w:rPr>
            </w:pPr>
            <w:r>
              <w:rPr>
                <w:rFonts w:asciiTheme="minorEastAsia" w:hAnsiTheme="minorEastAsia"/>
                <w:szCs w:val="21"/>
              </w:rPr>
              <w:t>165</w:t>
            </w:r>
          </w:p>
        </w:tc>
        <w:tc>
          <w:tcPr>
            <w:tcW w:w="2025" w:type="dxa"/>
            <w:tcBorders>
              <w:top w:val="outset" w:color="auto" w:sz="6" w:space="0"/>
              <w:left w:val="outset" w:color="auto" w:sz="6" w:space="0"/>
              <w:bottom w:val="outset" w:color="auto" w:sz="6" w:space="0"/>
              <w:right w:val="outset" w:color="auto" w:sz="6" w:space="0"/>
            </w:tcBorders>
            <w:shd w:val="clear" w:color="auto" w:fill="FFFFFF"/>
            <w:tcMar>
              <w:top w:w="0" w:type="dxa"/>
              <w:left w:w="0" w:type="dxa"/>
              <w:bottom w:w="0" w:type="dxa"/>
              <w:right w:w="0" w:type="dxa"/>
            </w:tcMar>
            <w:vAlign w:val="center"/>
          </w:tcPr>
          <w:p w14:paraId="29F7643A">
            <w:pPr>
              <w:spacing w:line="0" w:lineRule="atLeast"/>
              <w:jc w:val="center"/>
              <w:rPr>
                <w:rFonts w:asciiTheme="minorEastAsia" w:hAnsiTheme="minorEastAsia"/>
                <w:szCs w:val="21"/>
              </w:rPr>
            </w:pPr>
            <w:r>
              <w:rPr>
                <w:rFonts w:asciiTheme="minorEastAsia" w:hAnsiTheme="minorEastAsia"/>
                <w:szCs w:val="21"/>
              </w:rPr>
              <w:t>25</w:t>
            </w:r>
          </w:p>
        </w:tc>
      </w:tr>
      <w:tr w14:paraId="1D5097C0">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15" w:type="dxa"/>
            <w:left w:w="15" w:type="dxa"/>
            <w:bottom w:w="15" w:type="dxa"/>
            <w:right w:w="15" w:type="dxa"/>
          </w:tblCellMar>
        </w:tblPrEx>
        <w:tc>
          <w:tcPr>
            <w:tcW w:w="900" w:type="dxa"/>
            <w:tcBorders>
              <w:top w:val="outset" w:color="auto" w:sz="6" w:space="0"/>
              <w:left w:val="outset" w:color="auto" w:sz="6" w:space="0"/>
              <w:bottom w:val="outset" w:color="auto" w:sz="6" w:space="0"/>
              <w:right w:val="outset" w:color="auto" w:sz="6" w:space="0"/>
            </w:tcBorders>
            <w:shd w:val="clear" w:color="auto" w:fill="FFFFFF"/>
            <w:tcMar>
              <w:top w:w="0" w:type="dxa"/>
              <w:left w:w="0" w:type="dxa"/>
              <w:bottom w:w="0" w:type="dxa"/>
              <w:right w:w="0" w:type="dxa"/>
            </w:tcMar>
            <w:vAlign w:val="center"/>
          </w:tcPr>
          <w:p w14:paraId="2A03EBEC">
            <w:pPr>
              <w:spacing w:line="0" w:lineRule="atLeast"/>
              <w:jc w:val="center"/>
              <w:rPr>
                <w:rFonts w:asciiTheme="minorEastAsia" w:hAnsiTheme="minorEastAsia"/>
                <w:szCs w:val="21"/>
              </w:rPr>
            </w:pPr>
            <w:r>
              <w:rPr>
                <w:rFonts w:asciiTheme="minorEastAsia" w:hAnsiTheme="minorEastAsia"/>
                <w:szCs w:val="21"/>
              </w:rPr>
              <w:t>2</w:t>
            </w:r>
          </w:p>
        </w:tc>
        <w:tc>
          <w:tcPr>
            <w:tcW w:w="1260" w:type="dxa"/>
            <w:tcBorders>
              <w:top w:val="outset" w:color="auto" w:sz="6" w:space="0"/>
              <w:left w:val="outset" w:color="auto" w:sz="6" w:space="0"/>
              <w:bottom w:val="outset" w:color="auto" w:sz="6" w:space="0"/>
              <w:right w:val="outset" w:color="auto" w:sz="6" w:space="0"/>
            </w:tcBorders>
            <w:shd w:val="clear" w:color="auto" w:fill="FFFFFF"/>
            <w:tcMar>
              <w:top w:w="0" w:type="dxa"/>
              <w:left w:w="0" w:type="dxa"/>
              <w:bottom w:w="0" w:type="dxa"/>
              <w:right w:w="0" w:type="dxa"/>
            </w:tcMar>
            <w:vAlign w:val="center"/>
          </w:tcPr>
          <w:p w14:paraId="4789B1EC">
            <w:pPr>
              <w:spacing w:line="0" w:lineRule="atLeast"/>
              <w:jc w:val="center"/>
              <w:rPr>
                <w:rFonts w:asciiTheme="minorEastAsia" w:hAnsiTheme="minorEastAsia"/>
                <w:szCs w:val="21"/>
              </w:rPr>
            </w:pPr>
            <w:r>
              <w:rPr>
                <w:rFonts w:asciiTheme="minorEastAsia" w:hAnsiTheme="minorEastAsia"/>
                <w:szCs w:val="21"/>
              </w:rPr>
              <w:t>215</w:t>
            </w:r>
          </w:p>
        </w:tc>
        <w:tc>
          <w:tcPr>
            <w:tcW w:w="1800" w:type="dxa"/>
            <w:tcBorders>
              <w:top w:val="outset" w:color="auto" w:sz="6" w:space="0"/>
              <w:left w:val="outset" w:color="auto" w:sz="6" w:space="0"/>
              <w:bottom w:val="outset" w:color="auto" w:sz="6" w:space="0"/>
              <w:right w:val="outset" w:color="auto" w:sz="6" w:space="0"/>
            </w:tcBorders>
            <w:shd w:val="clear" w:color="auto" w:fill="FFFFFF"/>
            <w:tcMar>
              <w:top w:w="0" w:type="dxa"/>
              <w:left w:w="0" w:type="dxa"/>
              <w:bottom w:w="0" w:type="dxa"/>
              <w:right w:w="0" w:type="dxa"/>
            </w:tcMar>
            <w:vAlign w:val="center"/>
          </w:tcPr>
          <w:p w14:paraId="147F0234">
            <w:pPr>
              <w:spacing w:line="0" w:lineRule="atLeast"/>
              <w:jc w:val="center"/>
              <w:rPr>
                <w:rFonts w:asciiTheme="minorEastAsia" w:hAnsiTheme="minorEastAsia"/>
                <w:szCs w:val="21"/>
              </w:rPr>
            </w:pPr>
            <w:r>
              <w:rPr>
                <w:rFonts w:asciiTheme="minorEastAsia" w:hAnsiTheme="minorEastAsia"/>
                <w:szCs w:val="21"/>
              </w:rPr>
              <w:t>25</w:t>
            </w:r>
          </w:p>
        </w:tc>
        <w:tc>
          <w:tcPr>
            <w:tcW w:w="1575" w:type="dxa"/>
            <w:tcBorders>
              <w:top w:val="outset" w:color="auto" w:sz="6" w:space="0"/>
              <w:left w:val="outset" w:color="auto" w:sz="6" w:space="0"/>
              <w:bottom w:val="outset" w:color="auto" w:sz="6" w:space="0"/>
              <w:right w:val="outset" w:color="auto" w:sz="6" w:space="0"/>
            </w:tcBorders>
            <w:shd w:val="clear" w:color="auto" w:fill="FFFFFF"/>
            <w:tcMar>
              <w:top w:w="0" w:type="dxa"/>
              <w:left w:w="0" w:type="dxa"/>
              <w:bottom w:w="0" w:type="dxa"/>
              <w:right w:w="0" w:type="dxa"/>
            </w:tcMar>
            <w:vAlign w:val="center"/>
          </w:tcPr>
          <w:p w14:paraId="327CD228">
            <w:pPr>
              <w:spacing w:line="0" w:lineRule="atLeast"/>
              <w:jc w:val="center"/>
              <w:rPr>
                <w:rFonts w:asciiTheme="minorEastAsia" w:hAnsiTheme="minorEastAsia"/>
                <w:szCs w:val="21"/>
              </w:rPr>
            </w:pPr>
            <w:r>
              <w:rPr>
                <w:rFonts w:asciiTheme="minorEastAsia" w:hAnsiTheme="minorEastAsia"/>
                <w:szCs w:val="21"/>
              </w:rPr>
              <w:t>455</w:t>
            </w:r>
          </w:p>
        </w:tc>
        <w:tc>
          <w:tcPr>
            <w:tcW w:w="2025" w:type="dxa"/>
            <w:tcBorders>
              <w:top w:val="outset" w:color="auto" w:sz="6" w:space="0"/>
              <w:left w:val="outset" w:color="auto" w:sz="6" w:space="0"/>
              <w:bottom w:val="outset" w:color="auto" w:sz="6" w:space="0"/>
              <w:right w:val="outset" w:color="auto" w:sz="6" w:space="0"/>
            </w:tcBorders>
            <w:shd w:val="clear" w:color="auto" w:fill="FFFFFF"/>
            <w:tcMar>
              <w:top w:w="0" w:type="dxa"/>
              <w:left w:w="0" w:type="dxa"/>
              <w:bottom w:w="0" w:type="dxa"/>
              <w:right w:w="0" w:type="dxa"/>
            </w:tcMar>
            <w:vAlign w:val="center"/>
          </w:tcPr>
          <w:p w14:paraId="26072B43">
            <w:pPr>
              <w:spacing w:line="0" w:lineRule="atLeast"/>
              <w:jc w:val="center"/>
              <w:rPr>
                <w:rFonts w:asciiTheme="minorEastAsia" w:hAnsiTheme="minorEastAsia"/>
                <w:szCs w:val="21"/>
              </w:rPr>
            </w:pPr>
            <w:r>
              <w:rPr>
                <w:rFonts w:asciiTheme="minorEastAsia" w:hAnsiTheme="minorEastAsia"/>
                <w:szCs w:val="21"/>
              </w:rPr>
              <w:t>45</w:t>
            </w:r>
          </w:p>
        </w:tc>
      </w:tr>
      <w:tr w14:paraId="47CD1043">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15" w:type="dxa"/>
            <w:left w:w="15" w:type="dxa"/>
            <w:bottom w:w="15" w:type="dxa"/>
            <w:right w:w="15" w:type="dxa"/>
          </w:tblCellMar>
        </w:tblPrEx>
        <w:tc>
          <w:tcPr>
            <w:tcW w:w="900" w:type="dxa"/>
            <w:tcBorders>
              <w:top w:val="outset" w:color="auto" w:sz="6" w:space="0"/>
              <w:left w:val="outset" w:color="auto" w:sz="6" w:space="0"/>
              <w:bottom w:val="outset" w:color="auto" w:sz="6" w:space="0"/>
              <w:right w:val="outset" w:color="auto" w:sz="6" w:space="0"/>
            </w:tcBorders>
            <w:shd w:val="clear" w:color="auto" w:fill="FFFFFF"/>
            <w:tcMar>
              <w:top w:w="0" w:type="dxa"/>
              <w:left w:w="0" w:type="dxa"/>
              <w:bottom w:w="0" w:type="dxa"/>
              <w:right w:w="0" w:type="dxa"/>
            </w:tcMar>
            <w:vAlign w:val="center"/>
          </w:tcPr>
          <w:p w14:paraId="576F7880">
            <w:pPr>
              <w:spacing w:line="0" w:lineRule="atLeast"/>
              <w:jc w:val="center"/>
              <w:rPr>
                <w:rFonts w:asciiTheme="minorEastAsia" w:hAnsiTheme="minorEastAsia"/>
                <w:szCs w:val="21"/>
              </w:rPr>
            </w:pPr>
            <w:r>
              <w:rPr>
                <w:rFonts w:asciiTheme="minorEastAsia" w:hAnsiTheme="minorEastAsia"/>
                <w:szCs w:val="21"/>
              </w:rPr>
              <w:t>3</w:t>
            </w:r>
          </w:p>
        </w:tc>
        <w:tc>
          <w:tcPr>
            <w:tcW w:w="1260" w:type="dxa"/>
            <w:tcBorders>
              <w:top w:val="outset" w:color="auto" w:sz="6" w:space="0"/>
              <w:left w:val="outset" w:color="auto" w:sz="6" w:space="0"/>
              <w:bottom w:val="outset" w:color="auto" w:sz="6" w:space="0"/>
              <w:right w:val="outset" w:color="auto" w:sz="6" w:space="0"/>
            </w:tcBorders>
            <w:shd w:val="clear" w:color="auto" w:fill="FFFFFF"/>
            <w:tcMar>
              <w:top w:w="0" w:type="dxa"/>
              <w:left w:w="0" w:type="dxa"/>
              <w:bottom w:w="0" w:type="dxa"/>
              <w:right w:w="0" w:type="dxa"/>
            </w:tcMar>
            <w:vAlign w:val="center"/>
          </w:tcPr>
          <w:p w14:paraId="79D40EBF">
            <w:pPr>
              <w:spacing w:line="0" w:lineRule="atLeast"/>
              <w:jc w:val="center"/>
              <w:rPr>
                <w:rFonts w:asciiTheme="minorEastAsia" w:hAnsiTheme="minorEastAsia"/>
                <w:szCs w:val="21"/>
              </w:rPr>
            </w:pPr>
            <w:r>
              <w:rPr>
                <w:rFonts w:asciiTheme="minorEastAsia" w:hAnsiTheme="minorEastAsia"/>
                <w:szCs w:val="21"/>
              </w:rPr>
              <w:t>265</w:t>
            </w:r>
          </w:p>
        </w:tc>
        <w:tc>
          <w:tcPr>
            <w:tcW w:w="1800" w:type="dxa"/>
            <w:tcBorders>
              <w:top w:val="outset" w:color="auto" w:sz="6" w:space="0"/>
              <w:left w:val="outset" w:color="auto" w:sz="6" w:space="0"/>
              <w:bottom w:val="outset" w:color="auto" w:sz="6" w:space="0"/>
              <w:right w:val="outset" w:color="auto" w:sz="6" w:space="0"/>
            </w:tcBorders>
            <w:shd w:val="clear" w:color="auto" w:fill="FFFFFF"/>
            <w:tcMar>
              <w:top w:w="0" w:type="dxa"/>
              <w:left w:w="0" w:type="dxa"/>
              <w:bottom w:w="0" w:type="dxa"/>
              <w:right w:w="0" w:type="dxa"/>
            </w:tcMar>
            <w:vAlign w:val="center"/>
          </w:tcPr>
          <w:p w14:paraId="0CBF95D5">
            <w:pPr>
              <w:spacing w:line="0" w:lineRule="atLeast"/>
              <w:jc w:val="center"/>
              <w:rPr>
                <w:rFonts w:asciiTheme="minorEastAsia" w:hAnsiTheme="minorEastAsia"/>
                <w:szCs w:val="21"/>
              </w:rPr>
            </w:pPr>
            <w:r>
              <w:rPr>
                <w:rFonts w:asciiTheme="minorEastAsia" w:hAnsiTheme="minorEastAsia"/>
                <w:szCs w:val="21"/>
              </w:rPr>
              <w:t>25</w:t>
            </w:r>
          </w:p>
        </w:tc>
        <w:tc>
          <w:tcPr>
            <w:tcW w:w="1575" w:type="dxa"/>
            <w:tcBorders>
              <w:top w:val="outset" w:color="auto" w:sz="6" w:space="0"/>
              <w:left w:val="outset" w:color="auto" w:sz="6" w:space="0"/>
              <w:bottom w:val="outset" w:color="auto" w:sz="6" w:space="0"/>
              <w:right w:val="outset" w:color="auto" w:sz="6" w:space="0"/>
            </w:tcBorders>
            <w:shd w:val="clear" w:color="auto" w:fill="FFFFFF"/>
            <w:tcMar>
              <w:top w:w="0" w:type="dxa"/>
              <w:left w:w="0" w:type="dxa"/>
              <w:bottom w:w="0" w:type="dxa"/>
              <w:right w:w="0" w:type="dxa"/>
            </w:tcMar>
            <w:vAlign w:val="center"/>
          </w:tcPr>
          <w:p w14:paraId="77AAB63D">
            <w:pPr>
              <w:spacing w:line="0" w:lineRule="atLeast"/>
              <w:jc w:val="center"/>
              <w:rPr>
                <w:rFonts w:asciiTheme="minorEastAsia" w:hAnsiTheme="minorEastAsia"/>
                <w:szCs w:val="21"/>
              </w:rPr>
            </w:pPr>
            <w:r>
              <w:rPr>
                <w:rFonts w:asciiTheme="minorEastAsia" w:hAnsiTheme="minorEastAsia"/>
                <w:szCs w:val="21"/>
              </w:rPr>
              <w:t>710</w:t>
            </w:r>
          </w:p>
        </w:tc>
        <w:tc>
          <w:tcPr>
            <w:tcW w:w="2025" w:type="dxa"/>
            <w:tcBorders>
              <w:top w:val="outset" w:color="auto" w:sz="6" w:space="0"/>
              <w:left w:val="outset" w:color="auto" w:sz="6" w:space="0"/>
              <w:bottom w:val="outset" w:color="auto" w:sz="6" w:space="0"/>
              <w:right w:val="outset" w:color="auto" w:sz="6" w:space="0"/>
            </w:tcBorders>
            <w:shd w:val="clear" w:color="auto" w:fill="FFFFFF"/>
            <w:tcMar>
              <w:top w:w="0" w:type="dxa"/>
              <w:left w:w="0" w:type="dxa"/>
              <w:bottom w:w="0" w:type="dxa"/>
              <w:right w:w="0" w:type="dxa"/>
            </w:tcMar>
            <w:vAlign w:val="center"/>
          </w:tcPr>
          <w:p w14:paraId="11B9C94F">
            <w:pPr>
              <w:spacing w:line="0" w:lineRule="atLeast"/>
              <w:jc w:val="center"/>
              <w:rPr>
                <w:rFonts w:asciiTheme="minorEastAsia" w:hAnsiTheme="minorEastAsia"/>
                <w:szCs w:val="21"/>
              </w:rPr>
            </w:pPr>
            <w:r>
              <w:rPr>
                <w:rFonts w:asciiTheme="minorEastAsia" w:hAnsiTheme="minorEastAsia"/>
                <w:szCs w:val="21"/>
              </w:rPr>
              <w:t>75</w:t>
            </w:r>
          </w:p>
        </w:tc>
      </w:tr>
      <w:tr w14:paraId="33A8342E">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15" w:type="dxa"/>
            <w:left w:w="15" w:type="dxa"/>
            <w:bottom w:w="15" w:type="dxa"/>
            <w:right w:w="15" w:type="dxa"/>
          </w:tblCellMar>
        </w:tblPrEx>
        <w:tc>
          <w:tcPr>
            <w:tcW w:w="900" w:type="dxa"/>
            <w:tcBorders>
              <w:top w:val="outset" w:color="auto" w:sz="6" w:space="0"/>
              <w:left w:val="outset" w:color="auto" w:sz="6" w:space="0"/>
              <w:bottom w:val="outset" w:color="auto" w:sz="6" w:space="0"/>
              <w:right w:val="outset" w:color="auto" w:sz="6" w:space="0"/>
            </w:tcBorders>
            <w:shd w:val="clear" w:color="auto" w:fill="FFFFFF"/>
            <w:tcMar>
              <w:top w:w="0" w:type="dxa"/>
              <w:left w:w="0" w:type="dxa"/>
              <w:bottom w:w="0" w:type="dxa"/>
              <w:right w:w="0" w:type="dxa"/>
            </w:tcMar>
            <w:vAlign w:val="center"/>
          </w:tcPr>
          <w:p w14:paraId="5F82354D">
            <w:pPr>
              <w:spacing w:line="0" w:lineRule="atLeast"/>
              <w:jc w:val="center"/>
              <w:rPr>
                <w:rFonts w:asciiTheme="minorEastAsia" w:hAnsiTheme="minorEastAsia"/>
                <w:szCs w:val="21"/>
              </w:rPr>
            </w:pPr>
            <w:r>
              <w:rPr>
                <w:rFonts w:asciiTheme="minorEastAsia" w:hAnsiTheme="minorEastAsia"/>
                <w:szCs w:val="21"/>
              </w:rPr>
              <w:t>4</w:t>
            </w:r>
          </w:p>
        </w:tc>
        <w:tc>
          <w:tcPr>
            <w:tcW w:w="6660" w:type="dxa"/>
            <w:gridSpan w:val="4"/>
            <w:tcBorders>
              <w:top w:val="outset" w:color="auto" w:sz="6" w:space="0"/>
              <w:left w:val="outset" w:color="auto" w:sz="6" w:space="0"/>
              <w:bottom w:val="outset" w:color="auto" w:sz="6" w:space="0"/>
              <w:right w:val="outset" w:color="auto" w:sz="6" w:space="0"/>
            </w:tcBorders>
            <w:shd w:val="clear" w:color="auto" w:fill="FFFFFF"/>
            <w:tcMar>
              <w:top w:w="0" w:type="dxa"/>
              <w:left w:w="0" w:type="dxa"/>
              <w:bottom w:w="0" w:type="dxa"/>
              <w:right w:w="0" w:type="dxa"/>
            </w:tcMar>
            <w:vAlign w:val="center"/>
          </w:tcPr>
          <w:p w14:paraId="65294FAE">
            <w:pPr>
              <w:spacing w:line="0" w:lineRule="atLeast"/>
              <w:jc w:val="center"/>
              <w:rPr>
                <w:rFonts w:asciiTheme="minorEastAsia" w:hAnsiTheme="minorEastAsia"/>
                <w:szCs w:val="21"/>
              </w:rPr>
            </w:pPr>
            <w:r>
              <w:rPr>
                <w:rFonts w:asciiTheme="minorEastAsia" w:hAnsiTheme="minorEastAsia"/>
                <w:szCs w:val="21"/>
              </w:rPr>
              <w:t>超过3级的值</w:t>
            </w:r>
          </w:p>
        </w:tc>
      </w:tr>
    </w:tbl>
    <w:p w14:paraId="112627E5">
      <w:pPr>
        <w:rPr>
          <w:rFonts w:ascii="Segoe UI" w:hAnsi="Segoe UI" w:cs="Segoe UI"/>
          <w:shd w:val="clear" w:color="auto" w:fill="FFFFFF"/>
        </w:rPr>
      </w:pPr>
    </w:p>
    <w:p w14:paraId="0237489F"/>
    <w:p w14:paraId="44B23F0E"/>
    <w:p w14:paraId="3EF4A4CC"/>
    <w:p w14:paraId="7A080B1D"/>
    <w:p w14:paraId="488D934B"/>
    <w:p w14:paraId="16185CAE"/>
    <w:p w14:paraId="0B70C220"/>
    <w:p w14:paraId="01DAF27B"/>
    <w:p w14:paraId="41ED3865"/>
    <w:p w14:paraId="55E3EF95"/>
    <w:p w14:paraId="5F0BA8BC">
      <w:pPr>
        <w:keepNext w:val="0"/>
        <w:keepLines w:val="0"/>
        <w:pageBreakBefore w:val="0"/>
        <w:widowControl w:val="0"/>
        <w:kinsoku/>
        <w:wordWrap/>
        <w:overflowPunct/>
        <w:topLinePunct w:val="0"/>
        <w:autoSpaceDE/>
        <w:autoSpaceDN/>
        <w:bidi w:val="0"/>
        <w:adjustRightInd/>
        <w:snapToGrid/>
        <w:jc w:val="center"/>
        <w:textAlignment w:val="auto"/>
        <w:rPr>
          <w:rFonts w:hint="default" w:ascii="Arial" w:hAnsi="Arial" w:cs="Arial"/>
        </w:rPr>
      </w:pPr>
      <w:r>
        <w:rPr>
          <w:rFonts w:hint="default" w:ascii="Arial" w:hAnsi="Arial" w:cs="Arial"/>
        </w:rPr>
        <w:t>Find out in one minute whether your product meets the fire test requirements of BS476-7</w:t>
      </w:r>
    </w:p>
    <w:p w14:paraId="1DC84FA9">
      <w:pPr>
        <w:keepNext w:val="0"/>
        <w:keepLines w:val="0"/>
        <w:pageBreakBefore w:val="0"/>
        <w:widowControl w:val="0"/>
        <w:kinsoku/>
        <w:wordWrap/>
        <w:overflowPunct/>
        <w:topLinePunct w:val="0"/>
        <w:autoSpaceDE/>
        <w:autoSpaceDN/>
        <w:bidi w:val="0"/>
        <w:adjustRightInd/>
        <w:snapToGrid/>
        <w:jc w:val="center"/>
        <w:textAlignment w:val="auto"/>
        <w:rPr>
          <w:rFonts w:hint="default" w:ascii="Arial" w:hAnsi="Arial" w:cs="Arial"/>
        </w:rPr>
      </w:pPr>
    </w:p>
    <w:p w14:paraId="28BFB4F0">
      <w:pPr>
        <w:keepNext w:val="0"/>
        <w:keepLines w:val="0"/>
        <w:pageBreakBefore w:val="0"/>
        <w:widowControl w:val="0"/>
        <w:kinsoku/>
        <w:wordWrap/>
        <w:overflowPunct/>
        <w:topLinePunct w:val="0"/>
        <w:autoSpaceDE/>
        <w:autoSpaceDN/>
        <w:bidi w:val="0"/>
        <w:adjustRightInd/>
        <w:snapToGrid/>
        <w:jc w:val="both"/>
        <w:textAlignment w:val="auto"/>
        <w:rPr>
          <w:rFonts w:hint="default" w:ascii="Arial" w:hAnsi="Arial" w:cs="Arial"/>
        </w:rPr>
      </w:pPr>
      <w:r>
        <w:rPr>
          <w:rFonts w:hint="default" w:ascii="Arial" w:hAnsi="Arial" w:cs="Arial"/>
        </w:rPr>
        <w:t>BS 476-7 is a test method for determining the surface extension level of flames in the UK fire test standard for building materials and structures.</w:t>
      </w:r>
    </w:p>
    <w:p w14:paraId="3F125479">
      <w:pPr>
        <w:keepNext w:val="0"/>
        <w:keepLines w:val="0"/>
        <w:pageBreakBefore w:val="0"/>
        <w:widowControl w:val="0"/>
        <w:kinsoku/>
        <w:wordWrap/>
        <w:overflowPunct/>
        <w:topLinePunct w:val="0"/>
        <w:autoSpaceDE/>
        <w:autoSpaceDN/>
        <w:bidi w:val="0"/>
        <w:adjustRightInd/>
        <w:snapToGrid/>
        <w:jc w:val="both"/>
        <w:textAlignment w:val="auto"/>
        <w:rPr>
          <w:rFonts w:hint="default" w:ascii="Arial" w:hAnsi="Arial" w:cs="Arial"/>
        </w:rPr>
      </w:pPr>
    </w:p>
    <w:p w14:paraId="30305034">
      <w:pPr>
        <w:keepNext w:val="0"/>
        <w:keepLines w:val="0"/>
        <w:pageBreakBefore w:val="0"/>
        <w:widowControl w:val="0"/>
        <w:kinsoku/>
        <w:wordWrap/>
        <w:overflowPunct/>
        <w:topLinePunct w:val="0"/>
        <w:autoSpaceDE/>
        <w:autoSpaceDN/>
        <w:bidi w:val="0"/>
        <w:adjustRightInd/>
        <w:snapToGrid/>
        <w:jc w:val="both"/>
        <w:textAlignment w:val="auto"/>
        <w:rPr>
          <w:rFonts w:hint="default" w:ascii="Arial" w:hAnsi="Arial" w:cs="Arial"/>
        </w:rPr>
      </w:pPr>
      <w:r>
        <w:rPr>
          <w:rFonts w:hint="default" w:ascii="Arial" w:hAnsi="Arial" w:cs="Arial"/>
        </w:rPr>
        <w:t>Product range required by the standard:</w:t>
      </w:r>
    </w:p>
    <w:p w14:paraId="2A6ECF94">
      <w:pPr>
        <w:keepNext w:val="0"/>
        <w:keepLines w:val="0"/>
        <w:pageBreakBefore w:val="0"/>
        <w:widowControl w:val="0"/>
        <w:kinsoku/>
        <w:wordWrap/>
        <w:overflowPunct/>
        <w:topLinePunct w:val="0"/>
        <w:autoSpaceDE/>
        <w:autoSpaceDN/>
        <w:bidi w:val="0"/>
        <w:adjustRightInd/>
        <w:snapToGrid/>
        <w:jc w:val="both"/>
        <w:textAlignment w:val="auto"/>
        <w:rPr>
          <w:rFonts w:hint="default" w:ascii="Arial" w:hAnsi="Arial" w:cs="Arial"/>
        </w:rPr>
      </w:pPr>
      <w:r>
        <w:rPr>
          <w:rFonts w:hint="default" w:ascii="Arial" w:hAnsi="Arial" w:cs="Arial"/>
        </w:rPr>
        <w:t>BS 476-7 fire test is applicable to various types of building materials and products, including walls, ceilings, floors, partitions, doors, window frames, insulation materials, etc. It is mainly used to determine the flame extension of exposed surfaces of building materials such as walls, insulation materials, ceilings, etc.</w:t>
      </w:r>
    </w:p>
    <w:p w14:paraId="6AA23DA8">
      <w:pPr>
        <w:keepNext w:val="0"/>
        <w:keepLines w:val="0"/>
        <w:pageBreakBefore w:val="0"/>
        <w:widowControl w:val="0"/>
        <w:kinsoku/>
        <w:wordWrap/>
        <w:overflowPunct/>
        <w:topLinePunct w:val="0"/>
        <w:autoSpaceDE/>
        <w:autoSpaceDN/>
        <w:bidi w:val="0"/>
        <w:adjustRightInd/>
        <w:snapToGrid/>
        <w:jc w:val="both"/>
        <w:textAlignment w:val="auto"/>
        <w:rPr>
          <w:rFonts w:hint="default" w:ascii="Arial" w:hAnsi="Arial" w:cs="Arial"/>
        </w:rPr>
      </w:pPr>
    </w:p>
    <w:p w14:paraId="465867DA">
      <w:pPr>
        <w:keepNext w:val="0"/>
        <w:keepLines w:val="0"/>
        <w:pageBreakBefore w:val="0"/>
        <w:widowControl w:val="0"/>
        <w:kinsoku/>
        <w:wordWrap/>
        <w:overflowPunct/>
        <w:topLinePunct w:val="0"/>
        <w:autoSpaceDE/>
        <w:autoSpaceDN/>
        <w:bidi w:val="0"/>
        <w:adjustRightInd/>
        <w:snapToGrid/>
        <w:jc w:val="both"/>
        <w:textAlignment w:val="auto"/>
        <w:rPr>
          <w:rFonts w:hint="default" w:ascii="Arial" w:hAnsi="Arial" w:cs="Arial"/>
        </w:rPr>
      </w:pPr>
      <w:r>
        <w:rPr>
          <w:rFonts w:hint="default" w:ascii="Arial" w:hAnsi="Arial" w:cs="Arial"/>
        </w:rPr>
        <w:t>Common test materials include:</w:t>
      </w:r>
    </w:p>
    <w:p w14:paraId="66EF0615">
      <w:pPr>
        <w:keepNext w:val="0"/>
        <w:keepLines w:val="0"/>
        <w:pageBreakBefore w:val="0"/>
        <w:widowControl w:val="0"/>
        <w:kinsoku/>
        <w:wordWrap/>
        <w:overflowPunct/>
        <w:topLinePunct w:val="0"/>
        <w:autoSpaceDE/>
        <w:autoSpaceDN/>
        <w:bidi w:val="0"/>
        <w:adjustRightInd/>
        <w:snapToGrid/>
        <w:jc w:val="both"/>
        <w:textAlignment w:val="auto"/>
        <w:rPr>
          <w:rFonts w:hint="default" w:ascii="Arial" w:hAnsi="Arial" w:cs="Arial"/>
        </w:rPr>
      </w:pPr>
      <w:r>
        <w:rPr>
          <w:rFonts w:hint="default" w:ascii="Arial" w:hAnsi="Arial" w:cs="Arial"/>
        </w:rPr>
        <w:t>Glass fiberglass, plastic parts, display screens, wall panels, various types of panels, rock wool, foam, etc.</w:t>
      </w:r>
    </w:p>
    <w:p w14:paraId="1D318D34">
      <w:pPr>
        <w:keepNext w:val="0"/>
        <w:keepLines w:val="0"/>
        <w:pageBreakBefore w:val="0"/>
        <w:widowControl w:val="0"/>
        <w:kinsoku/>
        <w:wordWrap/>
        <w:overflowPunct/>
        <w:topLinePunct w:val="0"/>
        <w:autoSpaceDE/>
        <w:autoSpaceDN/>
        <w:bidi w:val="0"/>
        <w:adjustRightInd/>
        <w:snapToGrid/>
        <w:jc w:val="both"/>
        <w:textAlignment w:val="auto"/>
        <w:rPr>
          <w:rFonts w:hint="default" w:ascii="Arial" w:hAnsi="Arial" w:cs="Arial"/>
        </w:rPr>
      </w:pPr>
    </w:p>
    <w:p w14:paraId="11D6283D">
      <w:pPr>
        <w:keepNext w:val="0"/>
        <w:keepLines w:val="0"/>
        <w:pageBreakBefore w:val="0"/>
        <w:widowControl w:val="0"/>
        <w:kinsoku/>
        <w:wordWrap/>
        <w:overflowPunct/>
        <w:topLinePunct w:val="0"/>
        <w:autoSpaceDE/>
        <w:autoSpaceDN/>
        <w:bidi w:val="0"/>
        <w:adjustRightInd/>
        <w:snapToGrid/>
        <w:jc w:val="both"/>
        <w:textAlignment w:val="auto"/>
        <w:rPr>
          <w:rFonts w:hint="default" w:ascii="Arial" w:hAnsi="Arial" w:cs="Arial"/>
        </w:rPr>
      </w:pPr>
      <w:r>
        <w:rPr>
          <w:rFonts w:hint="default" w:ascii="Arial" w:hAnsi="Arial" w:cs="Arial"/>
        </w:rPr>
        <w:t>Note: There was a fire in the display screen in Hong Kong before, so the display screens to be sold to Hong Kong are required to undergo BS476-7 fire test.</w:t>
      </w:r>
    </w:p>
    <w:p w14:paraId="197D4288">
      <w:pPr>
        <w:keepNext w:val="0"/>
        <w:keepLines w:val="0"/>
        <w:pageBreakBefore w:val="0"/>
        <w:widowControl w:val="0"/>
        <w:kinsoku/>
        <w:wordWrap/>
        <w:overflowPunct/>
        <w:topLinePunct w:val="0"/>
        <w:autoSpaceDE/>
        <w:autoSpaceDN/>
        <w:bidi w:val="0"/>
        <w:adjustRightInd/>
        <w:snapToGrid/>
        <w:jc w:val="both"/>
        <w:textAlignment w:val="auto"/>
        <w:rPr>
          <w:rFonts w:hint="default" w:ascii="Arial" w:hAnsi="Arial" w:cs="Arial"/>
        </w:rPr>
      </w:pPr>
    </w:p>
    <w:p w14:paraId="606BCFED">
      <w:pPr>
        <w:keepNext w:val="0"/>
        <w:keepLines w:val="0"/>
        <w:pageBreakBefore w:val="0"/>
        <w:widowControl w:val="0"/>
        <w:kinsoku/>
        <w:wordWrap/>
        <w:overflowPunct/>
        <w:topLinePunct w:val="0"/>
        <w:autoSpaceDE/>
        <w:autoSpaceDN/>
        <w:bidi w:val="0"/>
        <w:adjustRightInd/>
        <w:snapToGrid/>
        <w:jc w:val="both"/>
        <w:textAlignment w:val="auto"/>
        <w:rPr>
          <w:rFonts w:hint="default" w:ascii="Arial" w:hAnsi="Arial" w:cs="Arial"/>
        </w:rPr>
      </w:pPr>
      <w:r>
        <w:rPr>
          <w:rFonts w:hint="default" w:ascii="Arial" w:hAnsi="Arial" w:cs="Arial"/>
        </w:rPr>
        <w:t>How is BS 476-7 tested?</w:t>
      </w:r>
    </w:p>
    <w:p w14:paraId="63D66703">
      <w:pPr>
        <w:keepNext w:val="0"/>
        <w:keepLines w:val="0"/>
        <w:pageBreakBefore w:val="0"/>
        <w:widowControl w:val="0"/>
        <w:kinsoku/>
        <w:wordWrap/>
        <w:overflowPunct/>
        <w:topLinePunct w:val="0"/>
        <w:autoSpaceDE/>
        <w:autoSpaceDN/>
        <w:bidi w:val="0"/>
        <w:adjustRightInd/>
        <w:snapToGrid/>
        <w:jc w:val="both"/>
        <w:textAlignment w:val="auto"/>
        <w:rPr>
          <w:rFonts w:hint="default" w:ascii="Arial" w:hAnsi="Arial" w:cs="Arial"/>
        </w:rPr>
      </w:pPr>
      <w:r>
        <w:rPr>
          <w:rFonts w:hint="default" w:ascii="Arial" w:hAnsi="Arial" w:cs="Arial"/>
        </w:rPr>
        <w:t>The test steps are as follows:</w:t>
      </w:r>
    </w:p>
    <w:p w14:paraId="2198758B">
      <w:pPr>
        <w:keepNext w:val="0"/>
        <w:keepLines w:val="0"/>
        <w:pageBreakBefore w:val="0"/>
        <w:widowControl w:val="0"/>
        <w:kinsoku/>
        <w:wordWrap/>
        <w:overflowPunct/>
        <w:topLinePunct w:val="0"/>
        <w:autoSpaceDE/>
        <w:autoSpaceDN/>
        <w:bidi w:val="0"/>
        <w:adjustRightInd/>
        <w:snapToGrid/>
        <w:jc w:val="both"/>
        <w:textAlignment w:val="auto"/>
        <w:rPr>
          <w:rFonts w:hint="default" w:ascii="Arial" w:hAnsi="Arial" w:cs="Arial"/>
        </w:rPr>
      </w:pPr>
      <w:r>
        <w:rPr>
          <w:rFonts w:hint="default" w:ascii="Arial" w:hAnsi="Arial" w:cs="Arial"/>
        </w:rPr>
        <w:t>1) Ignite the pilot flame</w:t>
      </w:r>
    </w:p>
    <w:p w14:paraId="6E1B5325">
      <w:pPr>
        <w:keepNext w:val="0"/>
        <w:keepLines w:val="0"/>
        <w:pageBreakBefore w:val="0"/>
        <w:widowControl w:val="0"/>
        <w:kinsoku/>
        <w:wordWrap/>
        <w:overflowPunct/>
        <w:topLinePunct w:val="0"/>
        <w:autoSpaceDE/>
        <w:autoSpaceDN/>
        <w:bidi w:val="0"/>
        <w:adjustRightInd/>
        <w:snapToGrid/>
        <w:jc w:val="both"/>
        <w:textAlignment w:val="auto"/>
        <w:rPr>
          <w:rFonts w:hint="default" w:ascii="Arial" w:hAnsi="Arial" w:cs="Arial"/>
        </w:rPr>
      </w:pPr>
      <w:r>
        <w:rPr>
          <w:rFonts w:hint="default" w:ascii="Arial" w:hAnsi="Arial" w:cs="Arial"/>
        </w:rPr>
        <w:t>2) Within 5 seconds, swing the sample clamp and put it in the test position, and then immediately start the timing mechanism, that is, start the test.</w:t>
      </w:r>
    </w:p>
    <w:p w14:paraId="33FF3649">
      <w:pPr>
        <w:keepNext w:val="0"/>
        <w:keepLines w:val="0"/>
        <w:pageBreakBefore w:val="0"/>
        <w:widowControl w:val="0"/>
        <w:kinsoku/>
        <w:wordWrap/>
        <w:overflowPunct/>
        <w:topLinePunct w:val="0"/>
        <w:autoSpaceDE/>
        <w:autoSpaceDN/>
        <w:bidi w:val="0"/>
        <w:adjustRightInd/>
        <w:snapToGrid/>
        <w:jc w:val="both"/>
        <w:textAlignment w:val="auto"/>
        <w:rPr>
          <w:rFonts w:hint="default" w:ascii="Arial" w:hAnsi="Arial" w:cs="Arial"/>
        </w:rPr>
      </w:pPr>
      <w:r>
        <w:rPr>
          <w:rFonts w:hint="default" w:ascii="Arial" w:hAnsi="Arial" w:cs="Arial"/>
        </w:rPr>
        <w:t>3) Extinguish the pilot flame within one minute after the test starts.</w:t>
      </w:r>
    </w:p>
    <w:p w14:paraId="5FB52574">
      <w:pPr>
        <w:keepNext w:val="0"/>
        <w:keepLines w:val="0"/>
        <w:pageBreakBefore w:val="0"/>
        <w:widowControl w:val="0"/>
        <w:kinsoku/>
        <w:wordWrap/>
        <w:overflowPunct/>
        <w:topLinePunct w:val="0"/>
        <w:autoSpaceDE/>
        <w:autoSpaceDN/>
        <w:bidi w:val="0"/>
        <w:adjustRightInd/>
        <w:snapToGrid/>
        <w:jc w:val="both"/>
        <w:textAlignment w:val="auto"/>
        <w:rPr>
          <w:rFonts w:hint="default" w:ascii="Arial" w:hAnsi="Arial" w:cs="Arial"/>
        </w:rPr>
      </w:pPr>
      <w:r>
        <w:rPr>
          <w:rFonts w:hint="default" w:ascii="Arial" w:hAnsi="Arial" w:cs="Arial"/>
        </w:rPr>
        <w:t>4) The test shall be stopped when the flame head reaches the 825 mm reference line, or after 10 minutes, whichever is shorter.</w:t>
      </w:r>
    </w:p>
    <w:p w14:paraId="1D4707E6">
      <w:pPr>
        <w:keepNext w:val="0"/>
        <w:keepLines w:val="0"/>
        <w:pageBreakBefore w:val="0"/>
        <w:widowControl w:val="0"/>
        <w:kinsoku/>
        <w:wordWrap/>
        <w:overflowPunct/>
        <w:topLinePunct w:val="0"/>
        <w:autoSpaceDE/>
        <w:autoSpaceDN/>
        <w:bidi w:val="0"/>
        <w:adjustRightInd/>
        <w:snapToGrid/>
        <w:jc w:val="both"/>
        <w:textAlignment w:val="auto"/>
        <w:rPr>
          <w:rFonts w:hint="default" w:ascii="Arial" w:hAnsi="Arial" w:cs="Arial"/>
        </w:rPr>
      </w:pPr>
    </w:p>
    <w:p w14:paraId="23B22AEA">
      <w:pPr>
        <w:keepNext w:val="0"/>
        <w:keepLines w:val="0"/>
        <w:pageBreakBefore w:val="0"/>
        <w:widowControl w:val="0"/>
        <w:kinsoku/>
        <w:wordWrap/>
        <w:overflowPunct/>
        <w:topLinePunct w:val="0"/>
        <w:autoSpaceDE/>
        <w:autoSpaceDN/>
        <w:bidi w:val="0"/>
        <w:adjustRightInd/>
        <w:snapToGrid/>
        <w:jc w:val="both"/>
        <w:textAlignment w:val="auto"/>
        <w:rPr>
          <w:rFonts w:hint="default" w:ascii="Arial" w:hAnsi="Arial" w:cs="Arial"/>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egoe UI">
    <w:panose1 w:val="020B0502040204020203"/>
    <w:charset w:val="00"/>
    <w:family w:val="swiss"/>
    <w:pitch w:val="default"/>
    <w:sig w:usb0="E4002EFF" w:usb1="C000E47F" w:usb2="00000009" w:usb3="00000000" w:csb0="200001FF" w:csb1="00000000"/>
  </w:font>
  <w:font w:name="Cambria">
    <w:panose1 w:val="02040503050406030204"/>
    <w:charset w:val="00"/>
    <w:family w:val="auto"/>
    <w:pitch w:val="default"/>
    <w:sig w:usb0="E00006FF" w:usb1="420024FF" w:usb2="02000000" w:usb3="00000000" w:csb0="2000019F" w:csb1="00000000"/>
  </w:font>
  <w:font w:name="仿宋">
    <w:panose1 w:val="02010609060101010101"/>
    <w:charset w:val="86"/>
    <w:family w:val="auto"/>
    <w:pitch w:val="default"/>
    <w:sig w:usb0="800002BF" w:usb1="38CF7CFA" w:usb2="00000016" w:usb3="00000000" w:csb0="00040001" w:csb1="00000000"/>
  </w:font>
  <w:font w:name="华文琥珀">
    <w:panose1 w:val="02010800040101010101"/>
    <w:charset w:val="86"/>
    <w:family w:val="auto"/>
    <w:pitch w:val="default"/>
    <w:sig w:usb0="00000001" w:usb1="080F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Meiryo UI">
    <w:panose1 w:val="020B0604030504040204"/>
    <w:charset w:val="80"/>
    <w:family w:val="auto"/>
    <w:pitch w:val="default"/>
    <w:sig w:usb0="E10102FF" w:usb1="EAC7FFFF" w:usb2="00010012" w:usb3="00000000" w:csb0="6002009F" w:csb1="DFD70000"/>
  </w:font>
  <w:font w:name="Microsoft YaHei UI">
    <w:panose1 w:val="020B0503020204020204"/>
    <w:charset w:val="86"/>
    <w:family w:val="auto"/>
    <w:pitch w:val="default"/>
    <w:sig w:usb0="80000287" w:usb1="2ACF3C50" w:usb2="00000016" w:usb3="00000000" w:csb0="0004001F" w:csb1="00000000"/>
  </w:font>
  <w:font w:name="华文细黑">
    <w:panose1 w:val="02010600040101010101"/>
    <w:charset w:val="86"/>
    <w:family w:val="auto"/>
    <w:pitch w:val="default"/>
    <w:sig w:usb0="00000287" w:usb1="080F0000" w:usb2="00000000" w:usb3="00000000" w:csb0="0004009F" w:csb1="DFD70000"/>
  </w:font>
  <w:font w:name="Malgun Gothic Semilight">
    <w:panose1 w:val="020B0502040204020203"/>
    <w:charset w:val="86"/>
    <w:family w:val="auto"/>
    <w:pitch w:val="default"/>
    <w:sig w:usb0="900002AF" w:usb1="01D77CFB" w:usb2="00000012" w:usb3="00000000" w:csb0="203E01BD" w:csb1="D7FF0000"/>
  </w:font>
  <w:font w:name="Arial">
    <w:panose1 w:val="020B0604020202020204"/>
    <w:charset w:val="00"/>
    <w:family w:val="auto"/>
    <w:pitch w:val="default"/>
    <w:sig w:usb0="E0002EFF" w:usb1="C000785B"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AF21299"/>
    <w:multiLevelType w:val="multilevel"/>
    <w:tmpl w:val="6AF21299"/>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0114"/>
    <w:rsid w:val="000662C8"/>
    <w:rsid w:val="004E7DCC"/>
    <w:rsid w:val="008E356B"/>
    <w:rsid w:val="00C00114"/>
    <w:rsid w:val="00C61E2E"/>
    <w:rsid w:val="00E3445F"/>
    <w:rsid w:val="4EE7323F"/>
    <w:rsid w:val="65573E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uiPriority w:val="99"/>
    <w:tblPr>
      <w:tblCellMar>
        <w:top w:w="0" w:type="dxa"/>
        <w:left w:w="108" w:type="dxa"/>
        <w:bottom w:w="0" w:type="dxa"/>
        <w:right w:w="108" w:type="dxa"/>
      </w:tblCellMar>
    </w:tblPr>
  </w:style>
  <w:style w:type="paragraph" w:styleId="4">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P R C</Company>
  <Pages>2</Pages>
  <Words>471</Words>
  <Characters>588</Characters>
  <Lines>4</Lines>
  <Paragraphs>1</Paragraphs>
  <TotalTime>11</TotalTime>
  <ScaleCrop>false</ScaleCrop>
  <LinksUpToDate>false</LinksUpToDate>
  <CharactersWithSpaces>600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2025-04-03T06:50:00Z</dcterms:created>
  <dc:creator>Windows User</dc:creator>
  <cp:lastModifiedBy>Administrator</cp:lastModifiedBy>
  <dcterms:modified xsi:type="dcterms:W3CDTF">2025-04-29T00:51:13Z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eyJoZGlkIjoiMDMyMzU4ZDY1NmQ1NzA0Mzc2MWE5MzUwMzlmNGVjMjMifQ==</vt:lpwstr>
  </property>
  <property fmtid="{D5CDD505-2E9C-101B-9397-08002B2CF9AE}" pid="3" name="KSOProductBuildVer">
    <vt:lpwstr>2052-12.1.0.20784</vt:lpwstr>
  </property>
  <property fmtid="{D5CDD505-2E9C-101B-9397-08002B2CF9AE}" pid="4" name="ICV">
    <vt:lpwstr>344AB3B5A2774B56A8C89E22E1AC4CB8_13</vt:lpwstr>
  </property>
</Properties>
</file>