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8636D4" w14:textId="77777777" w:rsidR="00D35237" w:rsidRDefault="00D35237">
      <w:pPr>
        <w:rPr>
          <w:rFonts w:hint="eastAsia"/>
        </w:rPr>
      </w:pPr>
    </w:p>
    <w:p w14:paraId="7D9A1CFF" w14:textId="77777777" w:rsidR="005F38CF" w:rsidRPr="00567915" w:rsidRDefault="005F38CF" w:rsidP="005F38CF">
      <w:pPr>
        <w:spacing w:line="360" w:lineRule="auto"/>
        <w:rPr>
          <w:rFonts w:ascii="楷体" w:eastAsia="楷体" w:hAnsi="楷体" w:hint="eastAsia"/>
          <w:b/>
          <w:bCs/>
          <w:sz w:val="30"/>
          <w:szCs w:val="30"/>
        </w:rPr>
      </w:pPr>
      <w:r w:rsidRPr="00567915">
        <w:rPr>
          <w:rFonts w:ascii="楷体" w:eastAsia="楷体" w:hAnsi="楷体" w:hint="eastAsia"/>
          <w:b/>
          <w:bCs/>
          <w:sz w:val="30"/>
          <w:szCs w:val="30"/>
        </w:rPr>
        <w:t>二、有关本专利传动通道</w:t>
      </w:r>
    </w:p>
    <w:p w14:paraId="1C5760AB" w14:textId="77777777" w:rsidR="005F38CF" w:rsidRPr="001A475D" w:rsidRDefault="005F38CF" w:rsidP="005F38CF">
      <w:pPr>
        <w:spacing w:line="360" w:lineRule="auto"/>
        <w:ind w:firstLineChars="200" w:firstLine="480"/>
        <w:rPr>
          <w:rFonts w:ascii="楷体" w:eastAsia="楷体" w:hAnsi="楷体" w:hint="eastAsia"/>
          <w:sz w:val="24"/>
          <w:szCs w:val="24"/>
        </w:rPr>
      </w:pPr>
      <w:r>
        <w:rPr>
          <w:rFonts w:ascii="楷体" w:eastAsia="楷体" w:hAnsi="楷体" w:hint="eastAsia"/>
          <w:sz w:val="24"/>
          <w:szCs w:val="24"/>
        </w:rPr>
        <w:t>本发明设计了</w:t>
      </w:r>
      <w:r w:rsidRPr="001A475D">
        <w:rPr>
          <w:rFonts w:ascii="楷体" w:eastAsia="楷体" w:hAnsi="楷体" w:hint="eastAsia"/>
          <w:sz w:val="24"/>
          <w:szCs w:val="24"/>
        </w:rPr>
        <w:t>3个传动通道驱动相关部件完成钢筋端面加工，并且在传动过程调节转速比：</w:t>
      </w:r>
    </w:p>
    <w:p w14:paraId="5F2447AD" w14:textId="77777777" w:rsidR="005F38CF" w:rsidRPr="00567915" w:rsidRDefault="005F38CF" w:rsidP="005F38CF">
      <w:pPr>
        <w:spacing w:line="360" w:lineRule="auto"/>
        <w:ind w:firstLineChars="200" w:firstLine="482"/>
        <w:rPr>
          <w:rFonts w:ascii="楷体" w:eastAsia="楷体" w:hAnsi="楷体" w:hint="eastAsia"/>
          <w:sz w:val="24"/>
          <w:szCs w:val="24"/>
        </w:rPr>
      </w:pPr>
      <w:r w:rsidRPr="00567915">
        <w:rPr>
          <w:rFonts w:ascii="楷体" w:eastAsia="楷体" w:hAnsi="楷体" w:hint="eastAsia"/>
          <w:b/>
          <w:bCs/>
          <w:sz w:val="24"/>
          <w:szCs w:val="24"/>
        </w:rPr>
        <w:t>第一传动通道：</w:t>
      </w:r>
      <w:r w:rsidRPr="00567915">
        <w:rPr>
          <w:rFonts w:ascii="楷体" w:eastAsia="楷体" w:hAnsi="楷体" w:hint="eastAsia"/>
          <w:sz w:val="24"/>
          <w:szCs w:val="24"/>
          <w:u w:val="single"/>
        </w:rPr>
        <w:t>减速机输出轴</w:t>
      </w:r>
      <w:r w:rsidRPr="00567915">
        <w:rPr>
          <w:rFonts w:ascii="楷体" w:eastAsia="楷体" w:hAnsi="楷体"/>
          <w:sz w:val="24"/>
          <w:szCs w:val="24"/>
          <w:u w:val="single"/>
        </w:rPr>
        <w:t xml:space="preserve">20 </w:t>
      </w:r>
      <w:r w:rsidRPr="00567915">
        <w:rPr>
          <w:rFonts w:ascii="楷体" w:eastAsia="楷体" w:hAnsi="楷体" w:hint="eastAsia"/>
          <w:sz w:val="24"/>
          <w:szCs w:val="24"/>
          <w:u w:val="single"/>
        </w:rPr>
        <w:t>至</w:t>
      </w:r>
      <w:r w:rsidRPr="00567915">
        <w:rPr>
          <w:rFonts w:ascii="楷体" w:eastAsia="楷体" w:hAnsi="楷体"/>
          <w:sz w:val="24"/>
          <w:szCs w:val="24"/>
          <w:u w:val="single"/>
        </w:rPr>
        <w:t xml:space="preserve"> </w:t>
      </w:r>
      <w:r w:rsidRPr="00567915">
        <w:rPr>
          <w:rFonts w:ascii="楷体" w:eastAsia="楷体" w:hAnsi="楷体" w:hint="eastAsia"/>
          <w:sz w:val="24"/>
          <w:szCs w:val="24"/>
          <w:u w:val="single"/>
        </w:rPr>
        <w:t>大尾巴件</w:t>
      </w:r>
      <w:r w:rsidRPr="00567915">
        <w:rPr>
          <w:rFonts w:ascii="楷体" w:eastAsia="楷体" w:hAnsi="楷体"/>
          <w:sz w:val="24"/>
          <w:szCs w:val="24"/>
          <w:u w:val="single"/>
        </w:rPr>
        <w:t xml:space="preserve">6 </w:t>
      </w:r>
      <w:r w:rsidRPr="00567915">
        <w:rPr>
          <w:rFonts w:ascii="楷体" w:eastAsia="楷体" w:hAnsi="楷体" w:hint="eastAsia"/>
          <w:sz w:val="24"/>
          <w:szCs w:val="24"/>
          <w:u w:val="single"/>
        </w:rPr>
        <w:t>至</w:t>
      </w:r>
      <w:r w:rsidRPr="00567915">
        <w:rPr>
          <w:rFonts w:ascii="楷体" w:eastAsia="楷体" w:hAnsi="楷体"/>
          <w:sz w:val="24"/>
          <w:szCs w:val="24"/>
          <w:u w:val="single"/>
        </w:rPr>
        <w:t xml:space="preserve"> </w:t>
      </w:r>
      <w:r w:rsidRPr="00567915">
        <w:rPr>
          <w:rFonts w:ascii="楷体" w:eastAsia="楷体" w:hAnsi="楷体" w:hint="eastAsia"/>
          <w:sz w:val="24"/>
          <w:szCs w:val="24"/>
          <w:u w:val="single"/>
        </w:rPr>
        <w:t>过渡板</w:t>
      </w:r>
      <w:r w:rsidRPr="00567915">
        <w:rPr>
          <w:rFonts w:ascii="楷体" w:eastAsia="楷体" w:hAnsi="楷体"/>
          <w:sz w:val="24"/>
          <w:szCs w:val="24"/>
          <w:u w:val="single"/>
        </w:rPr>
        <w:t xml:space="preserve">5 </w:t>
      </w:r>
      <w:r w:rsidRPr="00567915">
        <w:rPr>
          <w:rFonts w:ascii="楷体" w:eastAsia="楷体" w:hAnsi="楷体" w:hint="eastAsia"/>
          <w:sz w:val="24"/>
          <w:szCs w:val="24"/>
          <w:u w:val="single"/>
        </w:rPr>
        <w:t>至</w:t>
      </w:r>
      <w:r w:rsidRPr="00567915">
        <w:rPr>
          <w:rFonts w:ascii="楷体" w:eastAsia="楷体" w:hAnsi="楷体"/>
          <w:sz w:val="24"/>
          <w:szCs w:val="24"/>
          <w:u w:val="single"/>
        </w:rPr>
        <w:t xml:space="preserve"> </w:t>
      </w:r>
      <w:r w:rsidRPr="00567915">
        <w:rPr>
          <w:rFonts w:ascii="楷体" w:eastAsia="楷体" w:hAnsi="楷体" w:hint="eastAsia"/>
          <w:sz w:val="24"/>
          <w:szCs w:val="24"/>
          <w:u w:val="single"/>
        </w:rPr>
        <w:t>齿轮保持架</w:t>
      </w:r>
      <w:r w:rsidRPr="00567915">
        <w:rPr>
          <w:rFonts w:ascii="楷体" w:eastAsia="楷体" w:hAnsi="楷体"/>
          <w:sz w:val="24"/>
          <w:szCs w:val="24"/>
          <w:u w:val="single"/>
        </w:rPr>
        <w:t xml:space="preserve">4至 </w:t>
      </w:r>
      <w:proofErr w:type="gramStart"/>
      <w:r w:rsidRPr="00567915">
        <w:rPr>
          <w:rFonts w:ascii="楷体" w:eastAsia="楷体" w:hAnsi="楷体" w:hint="eastAsia"/>
          <w:sz w:val="24"/>
          <w:szCs w:val="24"/>
          <w:u w:val="single"/>
        </w:rPr>
        <w:t>滚丝轮</w:t>
      </w:r>
      <w:proofErr w:type="gramEnd"/>
      <w:r w:rsidRPr="00567915">
        <w:rPr>
          <w:rFonts w:ascii="楷体" w:eastAsia="楷体" w:hAnsi="楷体" w:hint="eastAsia"/>
          <w:sz w:val="24"/>
          <w:szCs w:val="24"/>
          <w:u w:val="single"/>
        </w:rPr>
        <w:t>套</w:t>
      </w:r>
      <w:r w:rsidRPr="00567915">
        <w:rPr>
          <w:rFonts w:ascii="楷体" w:eastAsia="楷体" w:hAnsi="楷体"/>
          <w:sz w:val="24"/>
          <w:szCs w:val="24"/>
          <w:u w:val="single"/>
        </w:rPr>
        <w:t xml:space="preserve">17 </w:t>
      </w:r>
      <w:r w:rsidRPr="00567915">
        <w:rPr>
          <w:rFonts w:ascii="楷体" w:eastAsia="楷体" w:hAnsi="楷体" w:hint="eastAsia"/>
          <w:sz w:val="24"/>
          <w:szCs w:val="24"/>
          <w:u w:val="single"/>
        </w:rPr>
        <w:t>至</w:t>
      </w:r>
      <w:r w:rsidRPr="00567915">
        <w:rPr>
          <w:rFonts w:ascii="楷体" w:eastAsia="楷体" w:hAnsi="楷体"/>
          <w:sz w:val="24"/>
          <w:szCs w:val="24"/>
          <w:u w:val="single"/>
        </w:rPr>
        <w:t xml:space="preserve"> </w:t>
      </w:r>
      <w:r w:rsidRPr="00567915">
        <w:rPr>
          <w:rFonts w:ascii="楷体" w:eastAsia="楷体" w:hAnsi="楷体" w:hint="eastAsia"/>
          <w:sz w:val="24"/>
          <w:szCs w:val="24"/>
          <w:u w:val="single"/>
        </w:rPr>
        <w:t>剥</w:t>
      </w:r>
      <w:proofErr w:type="gramStart"/>
      <w:r w:rsidRPr="00567915">
        <w:rPr>
          <w:rFonts w:ascii="楷体" w:eastAsia="楷体" w:hAnsi="楷体" w:hint="eastAsia"/>
          <w:sz w:val="24"/>
          <w:szCs w:val="24"/>
          <w:u w:val="single"/>
        </w:rPr>
        <w:t>肋刀座</w:t>
      </w:r>
      <w:proofErr w:type="gramEnd"/>
      <w:r w:rsidRPr="00567915">
        <w:rPr>
          <w:rFonts w:ascii="楷体" w:eastAsia="楷体" w:hAnsi="楷体" w:hint="eastAsia"/>
          <w:sz w:val="24"/>
          <w:szCs w:val="24"/>
          <w:u w:val="single"/>
        </w:rPr>
        <w:t>连接板</w:t>
      </w:r>
      <w:r w:rsidRPr="00567915">
        <w:rPr>
          <w:rFonts w:ascii="楷体" w:eastAsia="楷体" w:hAnsi="楷体"/>
          <w:sz w:val="24"/>
          <w:szCs w:val="24"/>
          <w:u w:val="single"/>
        </w:rPr>
        <w:t xml:space="preserve">1 </w:t>
      </w:r>
      <w:r w:rsidRPr="00567915">
        <w:rPr>
          <w:rFonts w:ascii="楷体" w:eastAsia="楷体" w:hAnsi="楷体" w:hint="eastAsia"/>
          <w:sz w:val="24"/>
          <w:szCs w:val="24"/>
          <w:u w:val="single"/>
        </w:rPr>
        <w:t>至</w:t>
      </w:r>
      <w:r w:rsidRPr="00567915">
        <w:rPr>
          <w:rFonts w:ascii="楷体" w:eastAsia="楷体" w:hAnsi="楷体"/>
          <w:sz w:val="24"/>
          <w:szCs w:val="24"/>
          <w:u w:val="single"/>
        </w:rPr>
        <w:t xml:space="preserve"> </w:t>
      </w:r>
      <w:r w:rsidRPr="00567915">
        <w:rPr>
          <w:rFonts w:ascii="楷体" w:eastAsia="楷体" w:hAnsi="楷体" w:hint="eastAsia"/>
          <w:sz w:val="24"/>
          <w:szCs w:val="24"/>
          <w:u w:val="single"/>
        </w:rPr>
        <w:t>剥肋刀，进行剥肋，该传动通道中各个部件固定连接，维持第一转速；</w:t>
      </w:r>
    </w:p>
    <w:p w14:paraId="0DDEA399" w14:textId="77777777" w:rsidR="005F38CF" w:rsidRPr="00567915" w:rsidRDefault="005F38CF" w:rsidP="005F38CF">
      <w:pPr>
        <w:spacing w:line="360" w:lineRule="auto"/>
        <w:ind w:firstLineChars="200" w:firstLine="482"/>
        <w:rPr>
          <w:rFonts w:ascii="楷体" w:eastAsia="楷体" w:hAnsi="楷体" w:hint="eastAsia"/>
          <w:sz w:val="24"/>
          <w:szCs w:val="24"/>
        </w:rPr>
      </w:pPr>
      <w:r w:rsidRPr="00567915">
        <w:rPr>
          <w:rFonts w:ascii="楷体" w:eastAsia="楷体" w:hAnsi="楷体" w:hint="eastAsia"/>
          <w:b/>
          <w:bCs/>
          <w:sz w:val="24"/>
          <w:szCs w:val="24"/>
        </w:rPr>
        <w:t>第二传动通道：</w:t>
      </w:r>
      <w:r w:rsidRPr="00567915">
        <w:rPr>
          <w:rFonts w:ascii="楷体" w:eastAsia="楷体" w:hAnsi="楷体" w:hint="eastAsia"/>
          <w:sz w:val="24"/>
          <w:szCs w:val="24"/>
          <w:u w:val="single"/>
        </w:rPr>
        <w:t>大尾巴件</w:t>
      </w:r>
      <w:r w:rsidRPr="00567915">
        <w:rPr>
          <w:rFonts w:ascii="楷体" w:eastAsia="楷体" w:hAnsi="楷体"/>
          <w:sz w:val="24"/>
          <w:szCs w:val="24"/>
          <w:u w:val="single"/>
        </w:rPr>
        <w:t>6和过渡板5带动位于两者之间的双联齿轮及其辅助小齿轮7做公转（整体转动）</w:t>
      </w:r>
      <w:r w:rsidRPr="00567915">
        <w:rPr>
          <w:rFonts w:ascii="楷体" w:eastAsia="楷体" w:hAnsi="楷体" w:hint="eastAsia"/>
          <w:sz w:val="24"/>
          <w:szCs w:val="24"/>
          <w:u w:val="single"/>
        </w:rPr>
        <w:t>；同时</w:t>
      </w:r>
      <w:r w:rsidRPr="00567915">
        <w:rPr>
          <w:rFonts w:ascii="楷体" w:eastAsia="楷体" w:hAnsi="楷体" w:hint="eastAsia"/>
          <w:b/>
          <w:bCs/>
          <w:sz w:val="24"/>
          <w:szCs w:val="24"/>
          <w:u w:val="single"/>
        </w:rPr>
        <w:t>，双联齿轮与内齿圈13</w:t>
      </w:r>
      <w:r w:rsidRPr="00567915">
        <w:rPr>
          <w:rFonts w:ascii="楷体" w:eastAsia="楷体" w:hAnsi="楷体" w:hint="eastAsia"/>
          <w:sz w:val="24"/>
          <w:szCs w:val="24"/>
          <w:u w:val="single"/>
        </w:rPr>
        <w:t>啮合，进行自转，该双联齿轮的自转带动设置在主旋转轴</w:t>
      </w:r>
      <w:r w:rsidRPr="00567915">
        <w:rPr>
          <w:rFonts w:ascii="楷体" w:eastAsia="楷体" w:hAnsi="楷体"/>
          <w:sz w:val="24"/>
          <w:szCs w:val="24"/>
          <w:u w:val="single"/>
        </w:rPr>
        <w:t>15</w:t>
      </w:r>
      <w:r w:rsidRPr="00567915">
        <w:rPr>
          <w:rFonts w:ascii="楷体" w:eastAsia="楷体" w:hAnsi="楷体" w:hint="eastAsia"/>
          <w:sz w:val="24"/>
          <w:szCs w:val="24"/>
          <w:u w:val="single"/>
        </w:rPr>
        <w:t>上的太阳轮</w:t>
      </w:r>
      <w:r w:rsidRPr="00567915">
        <w:rPr>
          <w:rFonts w:ascii="楷体" w:eastAsia="楷体" w:hAnsi="楷体"/>
          <w:sz w:val="24"/>
          <w:szCs w:val="24"/>
          <w:u w:val="single"/>
        </w:rPr>
        <w:t>14</w:t>
      </w:r>
      <w:r w:rsidRPr="00567915">
        <w:rPr>
          <w:rFonts w:ascii="楷体" w:eastAsia="楷体" w:hAnsi="楷体" w:hint="eastAsia"/>
          <w:sz w:val="24"/>
          <w:szCs w:val="24"/>
          <w:u w:val="single"/>
        </w:rPr>
        <w:t>旋转，从而带动刀片</w:t>
      </w:r>
      <w:r w:rsidRPr="00567915">
        <w:rPr>
          <w:rFonts w:ascii="楷体" w:eastAsia="楷体" w:hAnsi="楷体"/>
          <w:sz w:val="24"/>
          <w:szCs w:val="24"/>
          <w:u w:val="single"/>
        </w:rPr>
        <w:t>16</w:t>
      </w:r>
      <w:r w:rsidRPr="00567915">
        <w:rPr>
          <w:rFonts w:ascii="楷体" w:eastAsia="楷体" w:hAnsi="楷体" w:hint="eastAsia"/>
          <w:sz w:val="24"/>
          <w:szCs w:val="24"/>
          <w:u w:val="single"/>
        </w:rPr>
        <w:t>以第二转速旋转并切割磨平。</w:t>
      </w:r>
    </w:p>
    <w:p w14:paraId="3136DFB4" w14:textId="77777777" w:rsidR="005F38CF" w:rsidRPr="00567915" w:rsidRDefault="005F38CF" w:rsidP="005F38CF">
      <w:pPr>
        <w:spacing w:line="360" w:lineRule="auto"/>
        <w:ind w:firstLineChars="200" w:firstLine="482"/>
        <w:rPr>
          <w:rFonts w:ascii="楷体" w:eastAsia="楷体" w:hAnsi="楷体" w:hint="eastAsia"/>
          <w:sz w:val="24"/>
          <w:szCs w:val="24"/>
        </w:rPr>
      </w:pPr>
      <w:r w:rsidRPr="00567915">
        <w:rPr>
          <w:rFonts w:ascii="楷体" w:eastAsia="楷体" w:hAnsi="楷体" w:hint="eastAsia"/>
          <w:b/>
          <w:bCs/>
          <w:sz w:val="24"/>
          <w:szCs w:val="24"/>
        </w:rPr>
        <w:t>第三传动通道</w:t>
      </w:r>
      <w:r w:rsidRPr="00567915">
        <w:rPr>
          <w:rFonts w:ascii="楷体" w:eastAsia="楷体" w:hAnsi="楷体" w:hint="eastAsia"/>
          <w:sz w:val="24"/>
          <w:szCs w:val="24"/>
        </w:rPr>
        <w:t>：齿轮保持架4和剥</w:t>
      </w:r>
      <w:proofErr w:type="gramStart"/>
      <w:r w:rsidRPr="00567915">
        <w:rPr>
          <w:rFonts w:ascii="楷体" w:eastAsia="楷体" w:hAnsi="楷体" w:hint="eastAsia"/>
          <w:sz w:val="24"/>
          <w:szCs w:val="24"/>
        </w:rPr>
        <w:t>肋刀座</w:t>
      </w:r>
      <w:proofErr w:type="gramEnd"/>
      <w:r w:rsidRPr="00567915">
        <w:rPr>
          <w:rFonts w:ascii="楷体" w:eastAsia="楷体" w:hAnsi="楷体" w:hint="eastAsia"/>
          <w:sz w:val="24"/>
          <w:szCs w:val="24"/>
        </w:rPr>
        <w:t>连接板1及连接两者的滚轮套1</w:t>
      </w:r>
      <w:r w:rsidRPr="00567915">
        <w:rPr>
          <w:rFonts w:ascii="楷体" w:eastAsia="楷体" w:hAnsi="楷体"/>
          <w:sz w:val="24"/>
          <w:szCs w:val="24"/>
        </w:rPr>
        <w:t>7</w:t>
      </w:r>
      <w:r w:rsidRPr="00567915">
        <w:rPr>
          <w:rFonts w:ascii="楷体" w:eastAsia="楷体" w:hAnsi="楷体" w:hint="eastAsia"/>
          <w:sz w:val="24"/>
          <w:szCs w:val="24"/>
        </w:rPr>
        <w:t>整体带动位于3者内部的</w:t>
      </w:r>
      <w:proofErr w:type="gramStart"/>
      <w:r w:rsidRPr="00567915">
        <w:rPr>
          <w:rFonts w:ascii="楷体" w:eastAsia="楷体" w:hAnsi="楷体" w:hint="eastAsia"/>
          <w:sz w:val="24"/>
          <w:szCs w:val="24"/>
        </w:rPr>
        <w:t>偏心轴和滚丝轮</w:t>
      </w:r>
      <w:proofErr w:type="gramEnd"/>
      <w:r w:rsidRPr="00567915">
        <w:rPr>
          <w:rFonts w:ascii="楷体" w:eastAsia="楷体" w:hAnsi="楷体" w:hint="eastAsia"/>
          <w:sz w:val="24"/>
          <w:szCs w:val="24"/>
        </w:rPr>
        <w:t>2旋转（公转），从而维持在第三转速对钢筋进行滚丝。</w:t>
      </w:r>
    </w:p>
    <w:p w14:paraId="2130BBEF" w14:textId="77777777" w:rsidR="005F38CF" w:rsidRDefault="005F38CF" w:rsidP="005F38CF">
      <w:pPr>
        <w:spacing w:line="360" w:lineRule="auto"/>
        <w:ind w:firstLineChars="200" w:firstLine="480"/>
        <w:rPr>
          <w:rFonts w:ascii="楷体" w:eastAsia="楷体" w:hAnsi="楷体" w:hint="eastAsia"/>
          <w:sz w:val="24"/>
          <w:szCs w:val="24"/>
        </w:rPr>
      </w:pPr>
      <w:r w:rsidRPr="00567915">
        <w:rPr>
          <w:rFonts w:ascii="楷体" w:eastAsia="楷体" w:hAnsi="楷体" w:hint="eastAsia"/>
          <w:sz w:val="24"/>
          <w:szCs w:val="24"/>
        </w:rPr>
        <w:t xml:space="preserve"> 理解了传动通道，很容易与对比文件相比对，并清楚理解本专利与证据是完全不同的开发思路，证据既没有公开本专利，相互间也没有结合的动机。</w:t>
      </w:r>
    </w:p>
    <w:p w14:paraId="65A6747F" w14:textId="77777777" w:rsidR="005F38CF" w:rsidRDefault="005F38CF" w:rsidP="005F38CF">
      <w:pPr>
        <w:spacing w:line="360" w:lineRule="auto"/>
        <w:rPr>
          <w:rFonts w:ascii="楷体" w:eastAsia="楷体" w:hAnsi="楷体" w:hint="eastAsia"/>
          <w:sz w:val="24"/>
          <w:szCs w:val="24"/>
        </w:rPr>
      </w:pPr>
      <w:r w:rsidRPr="001A475D">
        <w:rPr>
          <w:rFonts w:ascii="楷体" w:eastAsia="楷体" w:hAnsi="楷体" w:hint="eastAsia"/>
          <w:sz w:val="24"/>
          <w:szCs w:val="24"/>
        </w:rPr>
        <w:t>下面针对无效请求人的具体理由和证据组合做出回应：</w:t>
      </w:r>
    </w:p>
    <w:p w14:paraId="3DD02093" w14:textId="77777777" w:rsidR="005F38CF" w:rsidRPr="00567915" w:rsidRDefault="005F38CF" w:rsidP="005F38CF">
      <w:pPr>
        <w:spacing w:line="360" w:lineRule="auto"/>
        <w:ind w:firstLineChars="200" w:firstLine="602"/>
        <w:rPr>
          <w:rFonts w:ascii="楷体" w:eastAsia="楷体" w:hAnsi="楷体" w:hint="eastAsia"/>
          <w:b/>
          <w:bCs/>
          <w:sz w:val="30"/>
          <w:szCs w:val="30"/>
        </w:rPr>
      </w:pPr>
      <w:r w:rsidRPr="00567915">
        <w:rPr>
          <w:rFonts w:ascii="楷体" w:eastAsia="楷体" w:hAnsi="楷体" w:hint="eastAsia"/>
          <w:b/>
          <w:bCs/>
          <w:sz w:val="30"/>
          <w:szCs w:val="30"/>
        </w:rPr>
        <w:t>三、有关权1不符合专利实施细则20.2的规定。</w:t>
      </w:r>
    </w:p>
    <w:p w14:paraId="747E8B94" w14:textId="77777777" w:rsidR="005F38CF" w:rsidRDefault="005F38CF" w:rsidP="005F38CF">
      <w:pPr>
        <w:spacing w:line="360" w:lineRule="auto"/>
        <w:ind w:firstLineChars="200" w:firstLine="480"/>
        <w:rPr>
          <w:rFonts w:ascii="楷体" w:eastAsia="楷体" w:hAnsi="楷体" w:hint="eastAsia"/>
          <w:sz w:val="24"/>
          <w:szCs w:val="24"/>
        </w:rPr>
      </w:pPr>
      <w:r w:rsidRPr="00973A9B">
        <w:rPr>
          <w:rFonts w:ascii="楷体" w:eastAsia="楷体" w:hAnsi="楷体" w:hint="eastAsia"/>
          <w:sz w:val="24"/>
          <w:szCs w:val="24"/>
        </w:rPr>
        <w:t>专利法实施细则第二十条第二款规定：“独立权利要求应当从整体上反映发明或者实用新型的技术方案，记载解决技术问题的必要技术特征。”必要技术特征，是指发明或者实用</w:t>
      </w:r>
      <w:proofErr w:type="gramStart"/>
      <w:r w:rsidRPr="00973A9B">
        <w:rPr>
          <w:rFonts w:ascii="楷体" w:eastAsia="楷体" w:hAnsi="楷体" w:hint="eastAsia"/>
          <w:sz w:val="24"/>
          <w:szCs w:val="24"/>
        </w:rPr>
        <w:t>新型为</w:t>
      </w:r>
      <w:proofErr w:type="gramEnd"/>
      <w:r w:rsidRPr="00973A9B">
        <w:rPr>
          <w:rFonts w:ascii="楷体" w:eastAsia="楷体" w:hAnsi="楷体" w:hint="eastAsia"/>
          <w:sz w:val="24"/>
          <w:szCs w:val="24"/>
        </w:rPr>
        <w:t>解决其技术问题所不可缺少的技术特征，其总和足以构成发明或者实用新型的技术方案，使之区别于背景技术中所述的其他技术方案。如果发明所要解决的技术问题包括多个彼此相互独立的技术问题，则在判断独立权利要求是否缺少必要技术特征时，只要独立权利要求的技术方案能够解决其中一个或者部分技术问题的必要技术特征，即可认定其符合专利法实施细则第二十条第二款的规定，不应再要求其记载解决</w:t>
      </w:r>
      <w:proofErr w:type="gramStart"/>
      <w:r w:rsidRPr="00973A9B">
        <w:rPr>
          <w:rFonts w:ascii="楷体" w:eastAsia="楷体" w:hAnsi="楷体" w:hint="eastAsia"/>
          <w:sz w:val="24"/>
          <w:szCs w:val="24"/>
        </w:rPr>
        <w:t>各个技术</w:t>
      </w:r>
      <w:proofErr w:type="gramEnd"/>
      <w:r w:rsidRPr="00973A9B">
        <w:rPr>
          <w:rFonts w:ascii="楷体" w:eastAsia="楷体" w:hAnsi="楷体" w:hint="eastAsia"/>
          <w:sz w:val="24"/>
          <w:szCs w:val="24"/>
        </w:rPr>
        <w:t>问题的所有技术特征。</w:t>
      </w:r>
    </w:p>
    <w:p w14:paraId="35BDA759" w14:textId="77777777" w:rsidR="005F38CF" w:rsidRDefault="005F38CF" w:rsidP="005F38CF">
      <w:pPr>
        <w:spacing w:line="360" w:lineRule="auto"/>
        <w:rPr>
          <w:rFonts w:ascii="楷体" w:eastAsia="楷体" w:hAnsi="楷体" w:hint="eastAsia"/>
          <w:sz w:val="24"/>
          <w:szCs w:val="24"/>
        </w:rPr>
      </w:pPr>
    </w:p>
    <w:p w14:paraId="47C9E177" w14:textId="77777777" w:rsidR="005F38CF" w:rsidRDefault="005F38CF" w:rsidP="005F38CF">
      <w:pPr>
        <w:spacing w:line="360" w:lineRule="auto"/>
        <w:rPr>
          <w:rFonts w:ascii="楷体" w:eastAsia="楷体" w:hAnsi="楷体" w:hint="eastAsia"/>
          <w:sz w:val="24"/>
          <w:szCs w:val="24"/>
        </w:rPr>
      </w:pPr>
      <w:r>
        <w:rPr>
          <w:rFonts w:ascii="楷体" w:eastAsia="楷体" w:hAnsi="楷体" w:hint="eastAsia"/>
          <w:sz w:val="24"/>
          <w:szCs w:val="24"/>
        </w:rPr>
        <w:t xml:space="preserve">   1、本专利的背景技术部分记载了众多现有技术存在的问题，</w:t>
      </w:r>
      <w:r w:rsidRPr="00567915">
        <w:rPr>
          <w:rFonts w:ascii="楷体" w:eastAsia="楷体" w:hAnsi="楷体" w:hint="eastAsia"/>
          <w:sz w:val="24"/>
          <w:szCs w:val="24"/>
        </w:rPr>
        <w:t>“。三种切割方</w:t>
      </w:r>
      <w:r w:rsidRPr="00567915">
        <w:rPr>
          <w:rFonts w:ascii="楷体" w:eastAsia="楷体" w:hAnsi="楷体" w:hint="eastAsia"/>
          <w:sz w:val="24"/>
          <w:szCs w:val="24"/>
        </w:rPr>
        <w:lastRenderedPageBreak/>
        <w:t>式都存在着一些缺陷：切割效率低，滚丝和切割不能同步进行；灰尘大，有害健康；易损件砂轮片成本高；需要单独的切割场地，占地面积大，大量耗费人工；冷挤压螺纹存在卷边，需要二次打磨。”</w:t>
      </w:r>
      <w:r>
        <w:rPr>
          <w:rFonts w:ascii="楷体" w:eastAsia="楷体" w:hAnsi="楷体"/>
          <w:sz w:val="24"/>
          <w:szCs w:val="24"/>
        </w:rPr>
        <w:t xml:space="preserve"> </w:t>
      </w:r>
      <w:r>
        <w:rPr>
          <w:rFonts w:ascii="楷体" w:eastAsia="楷体" w:hAnsi="楷体" w:hint="eastAsia"/>
          <w:sz w:val="24"/>
          <w:szCs w:val="24"/>
        </w:rPr>
        <w:t>，专利法及其实施细则并不要求独权一次性解决全部技术问题，仅解决一个问题即可。</w:t>
      </w:r>
    </w:p>
    <w:p w14:paraId="26DB6DCB" w14:textId="77777777" w:rsidR="005F38CF" w:rsidRDefault="005F38CF" w:rsidP="005F38CF">
      <w:pPr>
        <w:spacing w:line="360" w:lineRule="auto"/>
        <w:rPr>
          <w:rFonts w:ascii="楷体" w:eastAsia="楷体" w:hAnsi="楷体" w:hint="eastAsia"/>
          <w:sz w:val="24"/>
          <w:szCs w:val="24"/>
        </w:rPr>
      </w:pPr>
      <w:r>
        <w:rPr>
          <w:rFonts w:ascii="楷体" w:eastAsia="楷体" w:hAnsi="楷体" w:hint="eastAsia"/>
          <w:sz w:val="24"/>
          <w:szCs w:val="24"/>
        </w:rPr>
        <w:t xml:space="preserve">  2、背景技术中【0003】段，已经记载“</w:t>
      </w:r>
      <w:r w:rsidRPr="00567915">
        <w:rPr>
          <w:rFonts w:ascii="楷体" w:eastAsia="楷体" w:hAnsi="楷体" w:hint="eastAsia"/>
          <w:sz w:val="24"/>
          <w:szCs w:val="24"/>
        </w:rPr>
        <w:t>现设计一种水冷平头传动系统，通过优化工艺顺序，对整体传动结构及功能进行改造，以解决上述缺陷。</w:t>
      </w:r>
      <w:r>
        <w:rPr>
          <w:rFonts w:ascii="楷体" w:eastAsia="楷体" w:hAnsi="楷体" w:hint="eastAsia"/>
          <w:sz w:val="24"/>
          <w:szCs w:val="24"/>
        </w:rPr>
        <w:t xml:space="preserve">” </w:t>
      </w:r>
    </w:p>
    <w:p w14:paraId="4B0FDD3C" w14:textId="77777777" w:rsidR="005F38CF" w:rsidRDefault="005F38CF" w:rsidP="005F38CF">
      <w:pPr>
        <w:spacing w:line="360" w:lineRule="auto"/>
        <w:ind w:firstLine="480"/>
        <w:rPr>
          <w:rFonts w:ascii="楷体" w:eastAsia="楷体" w:hAnsi="楷体" w:hint="eastAsia"/>
          <w:sz w:val="24"/>
          <w:szCs w:val="24"/>
        </w:rPr>
      </w:pPr>
      <w:r>
        <w:rPr>
          <w:rFonts w:ascii="楷体" w:eastAsia="楷体" w:hAnsi="楷体" w:hint="eastAsia"/>
          <w:sz w:val="24"/>
          <w:szCs w:val="24"/>
        </w:rPr>
        <w:t>该段和权1的主题是“</w:t>
      </w:r>
      <w:r w:rsidRPr="005C7075">
        <w:rPr>
          <w:rFonts w:ascii="楷体" w:eastAsia="楷体" w:hAnsi="楷体" w:hint="eastAsia"/>
          <w:sz w:val="24"/>
          <w:szCs w:val="24"/>
        </w:rPr>
        <w:t>一种水冷平头传动系统</w:t>
      </w:r>
      <w:r>
        <w:rPr>
          <w:rFonts w:ascii="楷体" w:eastAsia="楷体" w:hAnsi="楷体" w:hint="eastAsia"/>
          <w:sz w:val="24"/>
          <w:szCs w:val="24"/>
        </w:rPr>
        <w:t>”，也即是对传动系统进行改进，通过传动系统的改进，使其适应解决上述至少一个问题。独权是通过传动系统的改进来解决问题的。</w:t>
      </w:r>
    </w:p>
    <w:p w14:paraId="3AA7347E" w14:textId="77777777" w:rsidR="005F38CF" w:rsidRDefault="005F38CF" w:rsidP="005F38CF">
      <w:pPr>
        <w:spacing w:line="360" w:lineRule="auto"/>
        <w:ind w:firstLine="480"/>
        <w:rPr>
          <w:rFonts w:ascii="楷体" w:eastAsia="楷体" w:hAnsi="楷体" w:hint="eastAsia"/>
          <w:sz w:val="24"/>
          <w:szCs w:val="24"/>
        </w:rPr>
      </w:pPr>
      <w:r>
        <w:rPr>
          <w:rFonts w:ascii="楷体" w:eastAsia="楷体" w:hAnsi="楷体" w:hint="eastAsia"/>
          <w:sz w:val="24"/>
          <w:szCs w:val="24"/>
        </w:rPr>
        <w:t>3、请求人提及的“刀具”和“滚丝轮”均是传动系统的终端可以连接的与待加工钢筋端头直接接触的部件，在独权的传动系统中，没有必要限定。因此，针对传动系统的改进权1并不缺少必要技术特征。</w:t>
      </w:r>
    </w:p>
    <w:p w14:paraId="3B959C9E" w14:textId="77777777" w:rsidR="005F38CF" w:rsidRDefault="005F38CF" w:rsidP="005F38CF">
      <w:pPr>
        <w:spacing w:line="360" w:lineRule="auto"/>
        <w:ind w:firstLine="480"/>
        <w:rPr>
          <w:rFonts w:ascii="楷体" w:eastAsia="楷体" w:hAnsi="楷体" w:hint="eastAsia"/>
          <w:sz w:val="24"/>
          <w:szCs w:val="24"/>
        </w:rPr>
      </w:pPr>
    </w:p>
    <w:p w14:paraId="75A620E1" w14:textId="77777777" w:rsidR="005F38CF" w:rsidRPr="00567915" w:rsidRDefault="005F38CF" w:rsidP="005F38CF">
      <w:pPr>
        <w:spacing w:line="360" w:lineRule="auto"/>
        <w:rPr>
          <w:rFonts w:ascii="楷体" w:eastAsia="楷体" w:hAnsi="楷体" w:hint="eastAsia"/>
          <w:b/>
          <w:bCs/>
          <w:sz w:val="30"/>
          <w:szCs w:val="30"/>
        </w:rPr>
      </w:pPr>
      <w:r w:rsidRPr="00567915">
        <w:rPr>
          <w:rFonts w:ascii="楷体" w:eastAsia="楷体" w:hAnsi="楷体" w:hint="eastAsia"/>
          <w:b/>
          <w:bCs/>
          <w:sz w:val="30"/>
          <w:szCs w:val="30"/>
        </w:rPr>
        <w:t>四、涉案专利说明书不符合26.3款的规定。</w:t>
      </w:r>
    </w:p>
    <w:p w14:paraId="01483C85" w14:textId="77777777" w:rsidR="005F38CF" w:rsidRDefault="005F38CF" w:rsidP="005F38CF">
      <w:pPr>
        <w:spacing w:line="360" w:lineRule="auto"/>
        <w:ind w:firstLineChars="200" w:firstLine="480"/>
        <w:rPr>
          <w:rFonts w:ascii="楷体" w:eastAsia="楷体" w:hAnsi="楷体" w:hint="eastAsia"/>
          <w:sz w:val="24"/>
          <w:szCs w:val="24"/>
        </w:rPr>
      </w:pPr>
      <w:r w:rsidRPr="008B3232">
        <w:rPr>
          <w:rFonts w:ascii="楷体" w:eastAsia="楷体" w:hAnsi="楷体" w:hint="eastAsia"/>
          <w:sz w:val="24"/>
          <w:szCs w:val="24"/>
        </w:rPr>
        <w:t>专利法第二十六条三款（以下简称26.3）主要是对说明书的规定，具体为：说明书应当对发明或者实用新型</w:t>
      </w:r>
      <w:proofErr w:type="gramStart"/>
      <w:r w:rsidRPr="008B3232">
        <w:rPr>
          <w:rFonts w:ascii="楷体" w:eastAsia="楷体" w:hAnsi="楷体" w:hint="eastAsia"/>
          <w:sz w:val="24"/>
          <w:szCs w:val="24"/>
        </w:rPr>
        <w:t>作出</w:t>
      </w:r>
      <w:proofErr w:type="gramEnd"/>
      <w:r w:rsidRPr="008B3232">
        <w:rPr>
          <w:rFonts w:ascii="楷体" w:eastAsia="楷体" w:hAnsi="楷体" w:hint="eastAsia"/>
          <w:sz w:val="24"/>
          <w:szCs w:val="24"/>
        </w:rPr>
        <w:t>清楚、完整的说明，以所属技术领域的技术人员能够实现为准</w:t>
      </w:r>
      <w:r>
        <w:rPr>
          <w:rFonts w:ascii="楷体" w:eastAsia="楷体" w:hAnsi="楷体" w:hint="eastAsia"/>
          <w:sz w:val="24"/>
          <w:szCs w:val="24"/>
        </w:rPr>
        <w:t>。</w:t>
      </w:r>
    </w:p>
    <w:p w14:paraId="4B4679A1" w14:textId="77777777" w:rsidR="005F38CF" w:rsidRDefault="005F38CF" w:rsidP="005F38CF">
      <w:pPr>
        <w:spacing w:line="360" w:lineRule="auto"/>
        <w:rPr>
          <w:rFonts w:ascii="楷体" w:eastAsia="楷体" w:hAnsi="楷体" w:hint="eastAsia"/>
          <w:b/>
          <w:bCs/>
          <w:sz w:val="24"/>
          <w:szCs w:val="24"/>
        </w:rPr>
      </w:pPr>
      <w:r w:rsidRPr="00567915">
        <w:rPr>
          <w:rFonts w:ascii="楷体" w:eastAsia="楷体" w:hAnsi="楷体" w:hint="eastAsia"/>
          <w:b/>
          <w:bCs/>
          <w:sz w:val="24"/>
          <w:szCs w:val="24"/>
          <w:highlight w:val="yellow"/>
        </w:rPr>
        <w:t>无效请求2.1部分有关</w:t>
      </w:r>
      <w:proofErr w:type="gramStart"/>
      <w:r w:rsidRPr="00567915">
        <w:rPr>
          <w:rFonts w:ascii="楷体" w:eastAsia="楷体" w:hAnsi="楷体" w:hint="eastAsia"/>
          <w:b/>
          <w:bCs/>
          <w:sz w:val="24"/>
          <w:szCs w:val="24"/>
          <w:highlight w:val="yellow"/>
        </w:rPr>
        <w:t>偏心轴和滚丝轮</w:t>
      </w:r>
      <w:proofErr w:type="gramEnd"/>
      <w:r w:rsidRPr="00567915">
        <w:rPr>
          <w:rFonts w:ascii="楷体" w:eastAsia="楷体" w:hAnsi="楷体" w:hint="eastAsia"/>
          <w:b/>
          <w:bCs/>
          <w:sz w:val="24"/>
          <w:szCs w:val="24"/>
          <w:highlight w:val="yellow"/>
        </w:rPr>
        <w:t>运动的问题，能否对请求人提出的问题进行解释和回应，用说明书和附图的内容（可以加公知常识）</w:t>
      </w:r>
    </w:p>
    <w:p w14:paraId="69B501FC" w14:textId="77777777" w:rsidR="005F38CF" w:rsidRDefault="005F38CF" w:rsidP="005F38CF">
      <w:pPr>
        <w:spacing w:line="360" w:lineRule="auto"/>
        <w:rPr>
          <w:rFonts w:ascii="楷体" w:eastAsia="楷体" w:hAnsi="楷体" w:hint="eastAsia"/>
          <w:b/>
          <w:bCs/>
          <w:sz w:val="24"/>
          <w:szCs w:val="24"/>
        </w:rPr>
      </w:pPr>
    </w:p>
    <w:p w14:paraId="601A0673" w14:textId="77777777" w:rsidR="005F38CF" w:rsidRPr="00567915" w:rsidRDefault="005F38CF" w:rsidP="005F38CF">
      <w:pPr>
        <w:spacing w:line="360" w:lineRule="auto"/>
        <w:rPr>
          <w:rFonts w:ascii="楷体" w:eastAsia="楷体" w:hAnsi="楷体" w:hint="eastAsia"/>
          <w:b/>
          <w:bCs/>
          <w:sz w:val="24"/>
          <w:szCs w:val="24"/>
        </w:rPr>
      </w:pPr>
    </w:p>
    <w:p w14:paraId="617644D0" w14:textId="77777777" w:rsidR="005F38CF" w:rsidRPr="00567915" w:rsidRDefault="005F38CF" w:rsidP="005F38CF">
      <w:pPr>
        <w:spacing w:line="360" w:lineRule="auto"/>
        <w:ind w:firstLineChars="200" w:firstLine="482"/>
        <w:rPr>
          <w:rFonts w:ascii="楷体" w:eastAsia="楷体" w:hAnsi="楷体" w:hint="eastAsia"/>
          <w:b/>
          <w:bCs/>
          <w:sz w:val="24"/>
          <w:szCs w:val="24"/>
        </w:rPr>
      </w:pPr>
      <w:r w:rsidRPr="00567915">
        <w:rPr>
          <w:rFonts w:ascii="楷体" w:eastAsia="楷体" w:hAnsi="楷体" w:hint="eastAsia"/>
          <w:b/>
          <w:bCs/>
          <w:sz w:val="24"/>
          <w:szCs w:val="24"/>
        </w:rPr>
        <w:t>2.2 有关双联齿轮及其辅助小齿轮(7)的传动关系</w:t>
      </w:r>
    </w:p>
    <w:p w14:paraId="113AD401" w14:textId="77777777" w:rsidR="005F38CF" w:rsidRDefault="005F38CF" w:rsidP="005F38CF">
      <w:pPr>
        <w:spacing w:line="360" w:lineRule="auto"/>
        <w:ind w:firstLineChars="200" w:firstLine="480"/>
        <w:rPr>
          <w:rFonts w:ascii="楷体" w:eastAsia="楷体" w:hAnsi="楷体" w:hint="eastAsia"/>
          <w:sz w:val="24"/>
          <w:szCs w:val="24"/>
        </w:rPr>
      </w:pPr>
      <w:r>
        <w:rPr>
          <w:rFonts w:ascii="楷体" w:eastAsia="楷体" w:hAnsi="楷体" w:hint="eastAsia"/>
          <w:sz w:val="24"/>
          <w:szCs w:val="24"/>
        </w:rPr>
        <w:t>首先，图1中能够明确看到，</w:t>
      </w:r>
      <w:r w:rsidRPr="00F52948">
        <w:rPr>
          <w:rFonts w:ascii="楷体" w:eastAsia="楷体" w:hAnsi="楷体" w:hint="eastAsia"/>
          <w:sz w:val="24"/>
          <w:szCs w:val="24"/>
        </w:rPr>
        <w:t>双联齿轮及其辅助小齿轮</w:t>
      </w:r>
      <w:r w:rsidRPr="00F52948">
        <w:rPr>
          <w:rFonts w:ascii="楷体" w:eastAsia="楷体" w:hAnsi="楷体"/>
          <w:sz w:val="24"/>
          <w:szCs w:val="24"/>
        </w:rPr>
        <w:t>(7)</w:t>
      </w:r>
      <w:r>
        <w:rPr>
          <w:rFonts w:ascii="楷体" w:eastAsia="楷体" w:hAnsi="楷体" w:hint="eastAsia"/>
          <w:sz w:val="24"/>
          <w:szCs w:val="24"/>
        </w:rPr>
        <w:t>与内齿圈13啮合，而权利要求书和说明书中均记载“</w:t>
      </w:r>
      <w:r w:rsidRPr="00567915">
        <w:rPr>
          <w:rFonts w:ascii="楷体" w:eastAsia="楷体" w:hAnsi="楷体" w:hint="eastAsia"/>
          <w:sz w:val="24"/>
          <w:szCs w:val="24"/>
        </w:rPr>
        <w:t>所述减速电机(21)的输出端外部安装有水套(9)与减速电机(21)固定连接</w:t>
      </w:r>
      <w:r>
        <w:rPr>
          <w:rFonts w:ascii="楷体" w:eastAsia="楷体" w:hAnsi="楷体" w:hint="eastAsia"/>
          <w:sz w:val="24"/>
          <w:szCs w:val="24"/>
        </w:rPr>
        <w:t>”，“</w:t>
      </w:r>
      <w:r w:rsidRPr="00567915">
        <w:rPr>
          <w:rFonts w:ascii="楷体" w:eastAsia="楷体" w:hAnsi="楷体" w:hint="eastAsia"/>
          <w:sz w:val="24"/>
          <w:szCs w:val="24"/>
        </w:rPr>
        <w:t>，所述水套(9)的左侧固定连接有内齿圈(13)与其固定</w:t>
      </w:r>
      <w:r>
        <w:rPr>
          <w:rFonts w:ascii="楷体" w:eastAsia="楷体" w:hAnsi="楷体" w:hint="eastAsia"/>
          <w:sz w:val="24"/>
          <w:szCs w:val="24"/>
        </w:rPr>
        <w:t>”，可见</w:t>
      </w:r>
      <w:r w:rsidRPr="00567915">
        <w:rPr>
          <w:rFonts w:ascii="楷体" w:eastAsia="楷体" w:hAnsi="楷体" w:hint="eastAsia"/>
          <w:sz w:val="24"/>
          <w:szCs w:val="24"/>
        </w:rPr>
        <w:t>减速电机(21)的输出端，水套(9)、内齿圈(13)是依次固定连接，因此，减速电机的输出端（输出轴20）能够带动内齿圈13转动，而内齿圈13带动与其</w:t>
      </w:r>
      <w:r>
        <w:rPr>
          <w:rFonts w:ascii="楷体" w:eastAsia="楷体" w:hAnsi="楷体" w:hint="eastAsia"/>
          <w:sz w:val="24"/>
          <w:szCs w:val="24"/>
        </w:rPr>
        <w:t>啮合的</w:t>
      </w:r>
      <w:r w:rsidRPr="00F52948">
        <w:rPr>
          <w:rFonts w:ascii="楷体" w:eastAsia="楷体" w:hAnsi="楷体" w:hint="eastAsia"/>
          <w:sz w:val="24"/>
          <w:szCs w:val="24"/>
        </w:rPr>
        <w:t>双联齿轮及其辅助小齿轮</w:t>
      </w:r>
      <w:r w:rsidRPr="00F52948">
        <w:rPr>
          <w:rFonts w:ascii="楷体" w:eastAsia="楷体" w:hAnsi="楷体"/>
          <w:sz w:val="24"/>
          <w:szCs w:val="24"/>
        </w:rPr>
        <w:t>(7)</w:t>
      </w:r>
      <w:r>
        <w:rPr>
          <w:rFonts w:ascii="楷体" w:eastAsia="楷体" w:hAnsi="楷体" w:hint="eastAsia"/>
          <w:sz w:val="24"/>
          <w:szCs w:val="24"/>
        </w:rPr>
        <w:t>啮合，</w:t>
      </w:r>
      <w:r w:rsidRPr="00F52948">
        <w:rPr>
          <w:rFonts w:ascii="楷体" w:eastAsia="楷体" w:hAnsi="楷体" w:hint="eastAsia"/>
          <w:sz w:val="24"/>
          <w:szCs w:val="24"/>
        </w:rPr>
        <w:t>双联齿轮及其辅助小齿轮</w:t>
      </w:r>
      <w:r w:rsidRPr="00F52948">
        <w:rPr>
          <w:rFonts w:ascii="楷体" w:eastAsia="楷体" w:hAnsi="楷体"/>
          <w:sz w:val="24"/>
          <w:szCs w:val="24"/>
        </w:rPr>
        <w:t>(7)</w:t>
      </w:r>
      <w:r>
        <w:rPr>
          <w:rFonts w:ascii="楷体" w:eastAsia="楷体" w:hAnsi="楷体" w:hint="eastAsia"/>
          <w:sz w:val="24"/>
          <w:szCs w:val="24"/>
        </w:rPr>
        <w:t>啮合，带动太阳轮14，而太阳轮14带动旋转主轴15转动，因此，</w:t>
      </w:r>
      <w:r>
        <w:rPr>
          <w:rFonts w:ascii="楷体" w:eastAsia="楷体" w:hAnsi="楷体" w:hint="eastAsia"/>
          <w:sz w:val="24"/>
          <w:szCs w:val="24"/>
        </w:rPr>
        <w:lastRenderedPageBreak/>
        <w:t>转矩的传递在文字和附图中记载很清楚，</w:t>
      </w:r>
      <w:proofErr w:type="gramStart"/>
      <w:r>
        <w:rPr>
          <w:rFonts w:ascii="楷体" w:eastAsia="楷体" w:hAnsi="楷体" w:hint="eastAsia"/>
          <w:sz w:val="24"/>
          <w:szCs w:val="24"/>
        </w:rPr>
        <w:t>符合符合</w:t>
      </w:r>
      <w:proofErr w:type="gramEnd"/>
      <w:r>
        <w:rPr>
          <w:rFonts w:ascii="楷体" w:eastAsia="楷体" w:hAnsi="楷体" w:hint="eastAsia"/>
          <w:sz w:val="24"/>
          <w:szCs w:val="24"/>
        </w:rPr>
        <w:t>26.3款的规定。</w:t>
      </w:r>
    </w:p>
    <w:p w14:paraId="18E3E82F" w14:textId="77777777" w:rsidR="005F38CF" w:rsidRDefault="005F38CF" w:rsidP="005F38CF">
      <w:pPr>
        <w:autoSpaceDE w:val="0"/>
        <w:autoSpaceDN w:val="0"/>
        <w:adjustRightInd w:val="0"/>
        <w:jc w:val="left"/>
        <w:rPr>
          <w:rFonts w:ascii="楷体" w:eastAsia="楷体" w:hAnsi="楷体" w:hint="eastAsia"/>
          <w:sz w:val="24"/>
          <w:szCs w:val="24"/>
        </w:rPr>
      </w:pPr>
    </w:p>
    <w:p w14:paraId="7A4F00ED" w14:textId="77777777" w:rsidR="005F38CF" w:rsidRPr="00567915" w:rsidRDefault="005F38CF" w:rsidP="005F38CF">
      <w:pPr>
        <w:spacing w:line="360" w:lineRule="auto"/>
        <w:rPr>
          <w:rFonts w:ascii="楷体" w:eastAsia="楷体" w:hAnsi="楷体" w:hint="eastAsia"/>
          <w:b/>
          <w:bCs/>
          <w:sz w:val="24"/>
          <w:szCs w:val="24"/>
        </w:rPr>
      </w:pPr>
      <w:r w:rsidRPr="00567915">
        <w:rPr>
          <w:rFonts w:ascii="楷体" w:eastAsia="楷体" w:hAnsi="楷体" w:hint="eastAsia"/>
          <w:b/>
          <w:bCs/>
          <w:sz w:val="24"/>
          <w:szCs w:val="24"/>
        </w:rPr>
        <w:t>2.3 请求人</w:t>
      </w:r>
      <w:proofErr w:type="gramStart"/>
      <w:r w:rsidRPr="00567915">
        <w:rPr>
          <w:rFonts w:ascii="楷体" w:eastAsia="楷体" w:hAnsi="楷体" w:hint="eastAsia"/>
          <w:b/>
          <w:bCs/>
          <w:sz w:val="24"/>
          <w:szCs w:val="24"/>
        </w:rPr>
        <w:t>以附图</w:t>
      </w:r>
      <w:proofErr w:type="gramEnd"/>
      <w:r w:rsidRPr="00567915">
        <w:rPr>
          <w:rFonts w:ascii="楷体" w:eastAsia="楷体" w:hAnsi="楷体" w:hint="eastAsia"/>
          <w:b/>
          <w:bCs/>
          <w:sz w:val="24"/>
          <w:szCs w:val="24"/>
        </w:rPr>
        <w:t>1观察到的尺寸作为不清楚、不能实现的理由明显不能成立。</w:t>
      </w:r>
    </w:p>
    <w:p w14:paraId="43E38A98" w14:textId="77777777" w:rsidR="005F38CF" w:rsidRPr="00973A9B" w:rsidRDefault="005F38CF" w:rsidP="005F38CF">
      <w:pPr>
        <w:spacing w:line="360" w:lineRule="auto"/>
        <w:ind w:firstLineChars="200" w:firstLine="480"/>
        <w:rPr>
          <w:rFonts w:ascii="楷体" w:eastAsia="楷体" w:hAnsi="楷体" w:hint="eastAsia"/>
          <w:sz w:val="24"/>
          <w:szCs w:val="24"/>
        </w:rPr>
      </w:pPr>
      <w:r>
        <w:rPr>
          <w:rFonts w:ascii="楷体" w:eastAsia="楷体" w:hAnsi="楷体" w:hint="eastAsia"/>
          <w:sz w:val="24"/>
          <w:szCs w:val="24"/>
        </w:rPr>
        <w:t>专利的附图仅是结构示意图，不能通过测量或肉眼观察来确定其具体尺寸，因此，所谓</w:t>
      </w:r>
      <w:r w:rsidRPr="00F52948">
        <w:rPr>
          <w:rFonts w:ascii="楷体" w:eastAsia="楷体" w:hAnsi="楷体" w:hint="eastAsia"/>
          <w:sz w:val="24"/>
          <w:szCs w:val="24"/>
        </w:rPr>
        <w:t>双联齿轮及其辅助小齿轮</w:t>
      </w:r>
      <w:r w:rsidRPr="00F52948">
        <w:rPr>
          <w:rFonts w:ascii="楷体" w:eastAsia="楷体" w:hAnsi="楷体"/>
          <w:sz w:val="24"/>
          <w:szCs w:val="24"/>
        </w:rPr>
        <w:t>(7)</w:t>
      </w:r>
      <w:r w:rsidRPr="00A379CF">
        <w:rPr>
          <w:rFonts w:ascii="楷体" w:eastAsia="楷体" w:hAnsi="楷体" w:hint="eastAsia"/>
          <w:sz w:val="24"/>
          <w:szCs w:val="24"/>
        </w:rPr>
        <w:t xml:space="preserve"> </w:t>
      </w:r>
      <w:r>
        <w:rPr>
          <w:rFonts w:ascii="楷体" w:eastAsia="楷体" w:hAnsi="楷体" w:hint="eastAsia"/>
          <w:sz w:val="24"/>
          <w:szCs w:val="24"/>
        </w:rPr>
        <w:t>和太阳轮14啮合的齿轮厚度一致，不能成立，以此得到推论也不能成立，事实上，本领域的技术人员能根据具体切削需要调整两者的厚度，从而既能接触又能相对轴向移动。</w:t>
      </w:r>
    </w:p>
    <w:p w14:paraId="0B48C4DC" w14:textId="77777777" w:rsidR="005F38CF" w:rsidRPr="00567915" w:rsidRDefault="005F38CF" w:rsidP="005F38CF">
      <w:pPr>
        <w:spacing w:line="360" w:lineRule="auto"/>
        <w:rPr>
          <w:rFonts w:ascii="楷体" w:eastAsia="楷体" w:hAnsi="楷体" w:hint="eastAsia"/>
          <w:b/>
          <w:bCs/>
          <w:sz w:val="24"/>
          <w:szCs w:val="24"/>
        </w:rPr>
      </w:pPr>
      <w:r w:rsidRPr="00567915">
        <w:rPr>
          <w:rFonts w:ascii="楷体" w:eastAsia="楷体" w:hAnsi="楷体" w:hint="eastAsia"/>
          <w:b/>
          <w:bCs/>
          <w:sz w:val="24"/>
          <w:szCs w:val="24"/>
        </w:rPr>
        <w:t>2.4 有关旋转主轴15与减速电机输出轴20固定连接。</w:t>
      </w:r>
    </w:p>
    <w:p w14:paraId="01B4E505" w14:textId="77777777" w:rsidR="005F38CF" w:rsidRPr="0016785C" w:rsidRDefault="005F38CF" w:rsidP="005F38CF">
      <w:pPr>
        <w:spacing w:line="360" w:lineRule="auto"/>
        <w:rPr>
          <w:rFonts w:ascii="楷体" w:eastAsia="楷体" w:hAnsi="楷体" w:hint="eastAsia"/>
          <w:sz w:val="24"/>
          <w:szCs w:val="24"/>
        </w:rPr>
      </w:pPr>
      <w:r>
        <w:rPr>
          <w:rFonts w:ascii="楷体" w:eastAsia="楷体" w:hAnsi="楷体" w:hint="eastAsia"/>
          <w:sz w:val="24"/>
          <w:szCs w:val="24"/>
        </w:rPr>
        <w:t xml:space="preserve">    显然，【0027】段的旋转主轴15与</w:t>
      </w:r>
      <w:r w:rsidRPr="005C7075">
        <w:rPr>
          <w:rFonts w:ascii="楷体" w:eastAsia="楷体" w:hAnsi="楷体" w:hint="eastAsia"/>
          <w:sz w:val="24"/>
          <w:szCs w:val="24"/>
        </w:rPr>
        <w:t>减速电机输出轴20</w:t>
      </w:r>
      <w:r>
        <w:rPr>
          <w:rFonts w:ascii="楷体" w:eastAsia="楷体" w:hAnsi="楷体" w:hint="eastAsia"/>
          <w:sz w:val="24"/>
          <w:szCs w:val="24"/>
        </w:rPr>
        <w:t>固定连接是明显的笔误，附图中均能明显看到旋转主轴15嵌套设置在</w:t>
      </w:r>
      <w:r w:rsidRPr="005C7075">
        <w:rPr>
          <w:rFonts w:ascii="楷体" w:eastAsia="楷体" w:hAnsi="楷体" w:hint="eastAsia"/>
          <w:sz w:val="24"/>
          <w:szCs w:val="24"/>
        </w:rPr>
        <w:t>减速电机输出轴20</w:t>
      </w:r>
      <w:r>
        <w:rPr>
          <w:rFonts w:ascii="楷体" w:eastAsia="楷体" w:hAnsi="楷体" w:hint="eastAsia"/>
          <w:sz w:val="24"/>
          <w:szCs w:val="24"/>
        </w:rPr>
        <w:t>内，两者可以相对转动，同时，【0031】段记载旋转主轴15是由太阳轮14驱动，因此，本领域的技术人员在阅读说明书和附图之后能毫无疑义的确定【0027】段的旋转主轴15与</w:t>
      </w:r>
      <w:r w:rsidRPr="005C7075">
        <w:rPr>
          <w:rFonts w:ascii="楷体" w:eastAsia="楷体" w:hAnsi="楷体" w:hint="eastAsia"/>
          <w:sz w:val="24"/>
          <w:szCs w:val="24"/>
        </w:rPr>
        <w:t>减速电机输出轴20</w:t>
      </w:r>
      <w:r>
        <w:rPr>
          <w:rFonts w:ascii="楷体" w:eastAsia="楷体" w:hAnsi="楷体" w:hint="eastAsia"/>
          <w:sz w:val="24"/>
          <w:szCs w:val="24"/>
        </w:rPr>
        <w:t>固定连接是明显的笔误。不存在不清楚的问题。</w:t>
      </w:r>
    </w:p>
    <w:p w14:paraId="13C2B408" w14:textId="77777777" w:rsidR="005F38CF" w:rsidRDefault="005F38CF" w:rsidP="005F38CF">
      <w:pPr>
        <w:spacing w:line="360" w:lineRule="auto"/>
        <w:rPr>
          <w:rFonts w:ascii="楷体" w:eastAsia="楷体" w:hAnsi="楷体" w:hint="eastAsia"/>
          <w:sz w:val="24"/>
          <w:szCs w:val="24"/>
        </w:rPr>
      </w:pPr>
    </w:p>
    <w:p w14:paraId="2F8147C3" w14:textId="77777777" w:rsidR="005F38CF" w:rsidRPr="00567915" w:rsidRDefault="005F38CF" w:rsidP="005F38CF">
      <w:pPr>
        <w:spacing w:line="360" w:lineRule="auto"/>
        <w:rPr>
          <w:rFonts w:ascii="楷体" w:eastAsia="楷体" w:hAnsi="楷体" w:hint="eastAsia"/>
          <w:b/>
          <w:bCs/>
          <w:sz w:val="30"/>
          <w:szCs w:val="30"/>
        </w:rPr>
      </w:pPr>
      <w:r w:rsidRPr="00567915">
        <w:rPr>
          <w:rFonts w:ascii="楷体" w:eastAsia="楷体" w:hAnsi="楷体" w:hint="eastAsia"/>
          <w:b/>
          <w:bCs/>
          <w:sz w:val="30"/>
          <w:szCs w:val="30"/>
        </w:rPr>
        <w:t>五、涉案专利权4不符合26.4款的规定。</w:t>
      </w:r>
    </w:p>
    <w:p w14:paraId="0DAADECE" w14:textId="77777777" w:rsidR="005F38CF" w:rsidRDefault="005F38CF" w:rsidP="005F38CF">
      <w:pPr>
        <w:spacing w:line="360" w:lineRule="auto"/>
        <w:ind w:firstLineChars="200" w:firstLine="480"/>
        <w:rPr>
          <w:rFonts w:ascii="楷体" w:eastAsia="楷体" w:hAnsi="楷体" w:hint="eastAsia"/>
          <w:sz w:val="24"/>
          <w:szCs w:val="24"/>
        </w:rPr>
      </w:pPr>
      <w:r>
        <w:rPr>
          <w:rFonts w:ascii="楷体" w:eastAsia="楷体" w:hAnsi="楷体" w:hint="eastAsia"/>
          <w:sz w:val="24"/>
          <w:szCs w:val="24"/>
        </w:rPr>
        <w:t>根据上述陈述可知，本领域的技术人员在阅读说明书和附图之后能毫无疑义的确定【0027】段的旋转主轴15与</w:t>
      </w:r>
      <w:r w:rsidRPr="005C7075">
        <w:rPr>
          <w:rFonts w:ascii="楷体" w:eastAsia="楷体" w:hAnsi="楷体" w:hint="eastAsia"/>
          <w:sz w:val="24"/>
          <w:szCs w:val="24"/>
        </w:rPr>
        <w:t>减速电机输出轴20</w:t>
      </w:r>
      <w:r>
        <w:rPr>
          <w:rFonts w:ascii="楷体" w:eastAsia="楷体" w:hAnsi="楷体" w:hint="eastAsia"/>
          <w:sz w:val="24"/>
          <w:szCs w:val="24"/>
        </w:rPr>
        <w:t>固定连接是明显的笔误。因此，也就不存在权4得不到说明书支持的问题。</w:t>
      </w:r>
    </w:p>
    <w:p w14:paraId="6F324BF1" w14:textId="77777777" w:rsidR="005F38CF" w:rsidRPr="00C00583" w:rsidRDefault="005F38CF" w:rsidP="005F38CF">
      <w:pPr>
        <w:spacing w:line="360" w:lineRule="auto"/>
        <w:rPr>
          <w:rFonts w:ascii="楷体" w:eastAsia="楷体" w:hAnsi="楷体" w:hint="eastAsia"/>
          <w:sz w:val="24"/>
          <w:szCs w:val="24"/>
        </w:rPr>
      </w:pPr>
    </w:p>
    <w:p w14:paraId="779844D9" w14:textId="77777777" w:rsidR="005F38CF" w:rsidRPr="00567915" w:rsidRDefault="005F38CF" w:rsidP="005F38CF">
      <w:pPr>
        <w:spacing w:line="360" w:lineRule="auto"/>
        <w:rPr>
          <w:rFonts w:ascii="楷体" w:eastAsia="楷体" w:hAnsi="楷体" w:hint="eastAsia"/>
          <w:b/>
          <w:bCs/>
          <w:sz w:val="30"/>
          <w:szCs w:val="30"/>
        </w:rPr>
      </w:pPr>
      <w:r w:rsidRPr="00567915">
        <w:rPr>
          <w:rFonts w:ascii="楷体" w:eastAsia="楷体" w:hAnsi="楷体" w:hint="eastAsia"/>
          <w:b/>
          <w:bCs/>
          <w:sz w:val="30"/>
          <w:szCs w:val="30"/>
        </w:rPr>
        <w:t>六、以证据1作为最接近的现有技术</w:t>
      </w:r>
    </w:p>
    <w:p w14:paraId="2796330B" w14:textId="77777777" w:rsidR="005F38CF" w:rsidRPr="001A475D" w:rsidRDefault="005F38CF" w:rsidP="005F38CF">
      <w:pPr>
        <w:spacing w:line="360" w:lineRule="auto"/>
        <w:rPr>
          <w:rFonts w:ascii="楷体" w:eastAsia="楷体" w:hAnsi="楷体" w:hint="eastAsia"/>
          <w:b/>
          <w:bCs/>
          <w:sz w:val="24"/>
          <w:szCs w:val="24"/>
        </w:rPr>
      </w:pPr>
      <w:r>
        <w:rPr>
          <w:rFonts w:ascii="楷体" w:eastAsia="楷体" w:hAnsi="楷体"/>
          <w:b/>
          <w:bCs/>
          <w:sz w:val="24"/>
          <w:szCs w:val="24"/>
        </w:rPr>
        <w:t>6.</w:t>
      </w:r>
      <w:r w:rsidRPr="001A475D">
        <w:rPr>
          <w:rFonts w:ascii="楷体" w:eastAsia="楷体" w:hAnsi="楷体"/>
          <w:b/>
          <w:bCs/>
          <w:sz w:val="24"/>
          <w:szCs w:val="24"/>
        </w:rPr>
        <w:t xml:space="preserve">1 </w:t>
      </w:r>
      <w:r w:rsidRPr="001A475D">
        <w:rPr>
          <w:rFonts w:ascii="楷体" w:eastAsia="楷体" w:hAnsi="楷体"/>
          <w:sz w:val="24"/>
          <w:szCs w:val="24"/>
        </w:rPr>
        <w:t>涉案专利权利要求1 符合专利法第22 条第3 款规定的创造性</w:t>
      </w:r>
      <w:r w:rsidRPr="001A475D">
        <w:rPr>
          <w:rFonts w:ascii="楷体" w:eastAsia="楷体" w:hAnsi="楷体" w:hint="eastAsia"/>
          <w:sz w:val="24"/>
          <w:szCs w:val="24"/>
        </w:rPr>
        <w:t>.</w:t>
      </w:r>
    </w:p>
    <w:p w14:paraId="4830EA5D" w14:textId="77777777" w:rsidR="005F38CF" w:rsidRDefault="005F38CF" w:rsidP="005F38CF">
      <w:pPr>
        <w:spacing w:line="360" w:lineRule="auto"/>
        <w:rPr>
          <w:rFonts w:ascii="楷体" w:eastAsia="楷体" w:hAnsi="楷体" w:hint="eastAsia"/>
          <w:b/>
          <w:bCs/>
          <w:sz w:val="24"/>
          <w:szCs w:val="24"/>
        </w:rPr>
      </w:pPr>
      <w:r>
        <w:rPr>
          <w:rFonts w:ascii="楷体" w:eastAsia="楷体" w:hAnsi="楷体" w:hint="eastAsia"/>
          <w:b/>
          <w:bCs/>
          <w:sz w:val="24"/>
          <w:szCs w:val="24"/>
        </w:rPr>
        <w:t>6.</w:t>
      </w:r>
      <w:r w:rsidRPr="001A475D">
        <w:rPr>
          <w:rFonts w:ascii="楷体" w:eastAsia="楷体" w:hAnsi="楷体"/>
          <w:b/>
          <w:bCs/>
          <w:sz w:val="24"/>
          <w:szCs w:val="24"/>
        </w:rPr>
        <w:t>1.1</w:t>
      </w:r>
      <w:r w:rsidRPr="001A475D">
        <w:rPr>
          <w:rFonts w:ascii="楷体" w:eastAsia="楷体" w:hAnsi="楷体" w:hint="eastAsia"/>
          <w:b/>
          <w:bCs/>
          <w:sz w:val="24"/>
          <w:szCs w:val="24"/>
        </w:rPr>
        <w:t>请求人遗漏了区别技术特征</w:t>
      </w:r>
    </w:p>
    <w:p w14:paraId="179BC290" w14:textId="77777777" w:rsidR="005F38CF" w:rsidRPr="001A475D" w:rsidRDefault="005F38CF" w:rsidP="005F38CF">
      <w:pPr>
        <w:spacing w:line="360" w:lineRule="auto"/>
        <w:ind w:firstLineChars="200" w:firstLine="480"/>
        <w:rPr>
          <w:rFonts w:ascii="楷体" w:eastAsia="楷体" w:hAnsi="楷体" w:hint="eastAsia"/>
          <w:sz w:val="24"/>
          <w:szCs w:val="24"/>
        </w:rPr>
      </w:pPr>
      <w:r w:rsidRPr="001A475D">
        <w:rPr>
          <w:rFonts w:ascii="楷体" w:eastAsia="楷体" w:hAnsi="楷体" w:hint="eastAsia"/>
          <w:sz w:val="24"/>
          <w:szCs w:val="24"/>
        </w:rPr>
        <w:t>权利人认为：</w:t>
      </w:r>
    </w:p>
    <w:p w14:paraId="4D83BA72" w14:textId="77777777" w:rsidR="005F38CF" w:rsidRPr="00F52948" w:rsidRDefault="005F38CF" w:rsidP="005F38CF">
      <w:pPr>
        <w:spacing w:line="360" w:lineRule="auto"/>
        <w:ind w:firstLineChars="200" w:firstLine="480"/>
        <w:rPr>
          <w:rFonts w:ascii="楷体" w:eastAsia="楷体" w:hAnsi="楷体" w:hint="eastAsia"/>
          <w:sz w:val="24"/>
          <w:szCs w:val="24"/>
        </w:rPr>
      </w:pPr>
      <w:r w:rsidRPr="00F52948">
        <w:rPr>
          <w:rFonts w:ascii="楷体" w:eastAsia="楷体" w:hAnsi="楷体" w:hint="eastAsia"/>
          <w:sz w:val="24"/>
          <w:szCs w:val="24"/>
        </w:rPr>
        <w:t>证据1还有以下区别技术特征没有公开：</w:t>
      </w:r>
    </w:p>
    <w:p w14:paraId="519480BA" w14:textId="77777777" w:rsidR="005F38CF" w:rsidRPr="00F52948" w:rsidRDefault="005F38CF" w:rsidP="005F38CF">
      <w:pPr>
        <w:spacing w:line="360" w:lineRule="auto"/>
        <w:ind w:firstLineChars="200" w:firstLine="480"/>
        <w:rPr>
          <w:rFonts w:ascii="楷体" w:eastAsia="楷体" w:hAnsi="楷体" w:hint="eastAsia"/>
          <w:sz w:val="24"/>
          <w:szCs w:val="24"/>
        </w:rPr>
      </w:pPr>
      <w:r w:rsidRPr="00F52948">
        <w:rPr>
          <w:rFonts w:ascii="楷体" w:eastAsia="楷体" w:hAnsi="楷体" w:hint="eastAsia"/>
          <w:sz w:val="24"/>
          <w:szCs w:val="24"/>
        </w:rPr>
        <w:t>A：所述水套</w:t>
      </w:r>
      <w:r w:rsidRPr="00F52948">
        <w:rPr>
          <w:rFonts w:ascii="楷体" w:eastAsia="楷体" w:hAnsi="楷体"/>
          <w:sz w:val="24"/>
          <w:szCs w:val="24"/>
        </w:rPr>
        <w:t>(9)的顶部安装有宝塔水接头(8)</w:t>
      </w:r>
      <w:r w:rsidRPr="00F52948">
        <w:rPr>
          <w:rFonts w:ascii="楷体" w:eastAsia="楷体" w:hAnsi="楷体" w:hint="eastAsia"/>
          <w:sz w:val="24"/>
          <w:szCs w:val="24"/>
        </w:rPr>
        <w:t>；</w:t>
      </w:r>
    </w:p>
    <w:p w14:paraId="491B4D31" w14:textId="77777777" w:rsidR="005F38CF" w:rsidRPr="00F52948" w:rsidRDefault="005F38CF" w:rsidP="005F38CF">
      <w:pPr>
        <w:spacing w:line="360" w:lineRule="auto"/>
        <w:ind w:firstLineChars="200" w:firstLine="480"/>
        <w:rPr>
          <w:rFonts w:ascii="楷体" w:eastAsia="楷体" w:hAnsi="楷体" w:hint="eastAsia"/>
          <w:sz w:val="24"/>
          <w:szCs w:val="24"/>
        </w:rPr>
      </w:pPr>
      <w:r w:rsidRPr="00F52948">
        <w:rPr>
          <w:rFonts w:ascii="楷体" w:eastAsia="楷体" w:hAnsi="楷体" w:hint="eastAsia"/>
          <w:sz w:val="24"/>
          <w:szCs w:val="24"/>
        </w:rPr>
        <w:t>B：所述水套</w:t>
      </w:r>
      <w:r w:rsidRPr="00F52948">
        <w:rPr>
          <w:rFonts w:ascii="楷体" w:eastAsia="楷体" w:hAnsi="楷体"/>
          <w:sz w:val="24"/>
          <w:szCs w:val="24"/>
        </w:rPr>
        <w:t>(9)的左</w:t>
      </w:r>
      <w:r w:rsidRPr="00F52948">
        <w:rPr>
          <w:rFonts w:ascii="楷体" w:eastAsia="楷体" w:hAnsi="楷体" w:hint="eastAsia"/>
          <w:sz w:val="24"/>
          <w:szCs w:val="24"/>
        </w:rPr>
        <w:t>侧固定连接有内齿圈</w:t>
      </w:r>
      <w:r w:rsidRPr="00F52948">
        <w:rPr>
          <w:rFonts w:ascii="楷体" w:eastAsia="楷体" w:hAnsi="楷体"/>
          <w:sz w:val="24"/>
          <w:szCs w:val="24"/>
        </w:rPr>
        <w:t>(13)与其固定</w:t>
      </w:r>
      <w:r w:rsidRPr="00F52948">
        <w:rPr>
          <w:rFonts w:ascii="楷体" w:eastAsia="楷体" w:hAnsi="楷体" w:hint="eastAsia"/>
          <w:sz w:val="24"/>
          <w:szCs w:val="24"/>
        </w:rPr>
        <w:t>；</w:t>
      </w:r>
    </w:p>
    <w:p w14:paraId="376D20AD" w14:textId="77777777" w:rsidR="005F38CF" w:rsidRPr="00F52948" w:rsidRDefault="005F38CF" w:rsidP="005F38CF">
      <w:pPr>
        <w:spacing w:line="360" w:lineRule="auto"/>
        <w:ind w:firstLineChars="200" w:firstLine="480"/>
        <w:rPr>
          <w:rFonts w:ascii="楷体" w:eastAsia="楷体" w:hAnsi="楷体" w:hint="eastAsia"/>
          <w:sz w:val="24"/>
          <w:szCs w:val="24"/>
        </w:rPr>
      </w:pPr>
      <w:r w:rsidRPr="00F52948">
        <w:rPr>
          <w:rFonts w:ascii="楷体" w:eastAsia="楷体" w:hAnsi="楷体" w:hint="eastAsia"/>
          <w:sz w:val="24"/>
          <w:szCs w:val="24"/>
        </w:rPr>
        <w:t>C：所述内齿圈</w:t>
      </w:r>
      <w:r w:rsidRPr="00F52948">
        <w:rPr>
          <w:rFonts w:ascii="楷体" w:eastAsia="楷体" w:hAnsi="楷体"/>
          <w:sz w:val="24"/>
          <w:szCs w:val="24"/>
        </w:rPr>
        <w:t>(13)的前端有大尾巴件(6)相对转动</w:t>
      </w:r>
      <w:r w:rsidRPr="00F52948">
        <w:rPr>
          <w:rFonts w:ascii="楷体" w:eastAsia="楷体" w:hAnsi="楷体" w:hint="eastAsia"/>
          <w:sz w:val="24"/>
          <w:szCs w:val="24"/>
        </w:rPr>
        <w:t>；</w:t>
      </w:r>
    </w:p>
    <w:p w14:paraId="708B5873" w14:textId="77777777" w:rsidR="005F38CF" w:rsidRPr="00F52948" w:rsidRDefault="005F38CF" w:rsidP="005F38CF">
      <w:pPr>
        <w:spacing w:line="360" w:lineRule="auto"/>
        <w:ind w:firstLineChars="200" w:firstLine="480"/>
        <w:rPr>
          <w:rFonts w:ascii="楷体" w:eastAsia="楷体" w:hAnsi="楷体" w:hint="eastAsia"/>
          <w:sz w:val="24"/>
          <w:szCs w:val="24"/>
        </w:rPr>
      </w:pPr>
      <w:r w:rsidRPr="00F52948">
        <w:rPr>
          <w:rFonts w:ascii="楷体" w:eastAsia="楷体" w:hAnsi="楷体" w:hint="eastAsia"/>
          <w:sz w:val="24"/>
          <w:szCs w:val="24"/>
        </w:rPr>
        <w:t>证据1并未公开特征A，水套（9），本专利的水套（9）的设置能从内部，对切削、滚丝、剥皮的产热部件进行冷却。</w:t>
      </w:r>
    </w:p>
    <w:p w14:paraId="62C02F62" w14:textId="77777777" w:rsidR="00DA00C4" w:rsidRPr="005F38CF" w:rsidRDefault="00DA00C4">
      <w:pPr>
        <w:rPr>
          <w:rFonts w:hint="eastAsia"/>
        </w:rPr>
      </w:pPr>
    </w:p>
    <w:p w14:paraId="0A7EE506" w14:textId="77777777" w:rsidR="00DA00C4" w:rsidRDefault="00DA00C4">
      <w:pPr>
        <w:rPr>
          <w:rFonts w:hint="eastAsia"/>
        </w:rPr>
      </w:pPr>
    </w:p>
    <w:p w14:paraId="3B8DD70D" w14:textId="60793F7D" w:rsidR="00DA00C4" w:rsidRDefault="00DA00C4">
      <w:pPr>
        <w:rPr>
          <w:rFonts w:hint="eastAsia"/>
        </w:rPr>
      </w:pPr>
      <w:r>
        <w:t>2024年7月17日星期三</w:t>
      </w:r>
    </w:p>
    <w:p w14:paraId="03D51D25" w14:textId="77777777" w:rsidR="00DA00C4" w:rsidRDefault="00DA00C4">
      <w:pPr>
        <w:rPr>
          <w:rFonts w:hint="eastAsia"/>
        </w:rPr>
      </w:pPr>
    </w:p>
    <w:p w14:paraId="223FCE5B" w14:textId="77777777" w:rsidR="00DA00C4" w:rsidRDefault="00DA00C4">
      <w:pPr>
        <w:rPr>
          <w:rFonts w:hint="eastAsia"/>
        </w:rPr>
      </w:pPr>
    </w:p>
    <w:sectPr w:rsidR="00DA00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8340F9" w14:textId="77777777" w:rsidR="006C4297" w:rsidRDefault="006C4297" w:rsidP="00DA00C4">
      <w:pPr>
        <w:rPr>
          <w:rFonts w:hint="eastAsia"/>
        </w:rPr>
      </w:pPr>
      <w:r>
        <w:separator/>
      </w:r>
    </w:p>
  </w:endnote>
  <w:endnote w:type="continuationSeparator" w:id="0">
    <w:p w14:paraId="08B2D01E" w14:textId="77777777" w:rsidR="006C4297" w:rsidRDefault="006C4297" w:rsidP="00DA00C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96365C" w14:textId="77777777" w:rsidR="006C4297" w:rsidRDefault="006C4297" w:rsidP="00DA00C4">
      <w:pPr>
        <w:rPr>
          <w:rFonts w:hint="eastAsia"/>
        </w:rPr>
      </w:pPr>
      <w:r>
        <w:separator/>
      </w:r>
    </w:p>
  </w:footnote>
  <w:footnote w:type="continuationSeparator" w:id="0">
    <w:p w14:paraId="6E094A65" w14:textId="77777777" w:rsidR="006C4297" w:rsidRDefault="006C4297" w:rsidP="00DA00C4">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54"/>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17F4E"/>
    <w:rsid w:val="0000759F"/>
    <w:rsid w:val="00021D78"/>
    <w:rsid w:val="00022B61"/>
    <w:rsid w:val="00054BFE"/>
    <w:rsid w:val="00055646"/>
    <w:rsid w:val="00061EB1"/>
    <w:rsid w:val="00073CB1"/>
    <w:rsid w:val="000B71D8"/>
    <w:rsid w:val="000F388F"/>
    <w:rsid w:val="00105919"/>
    <w:rsid w:val="001748AB"/>
    <w:rsid w:val="0019100B"/>
    <w:rsid w:val="001B58AA"/>
    <w:rsid w:val="001D2CE1"/>
    <w:rsid w:val="001D62DA"/>
    <w:rsid w:val="00231CFD"/>
    <w:rsid w:val="002510D0"/>
    <w:rsid w:val="002572C3"/>
    <w:rsid w:val="00274830"/>
    <w:rsid w:val="00292E2B"/>
    <w:rsid w:val="002A0808"/>
    <w:rsid w:val="002A6044"/>
    <w:rsid w:val="002D1D5E"/>
    <w:rsid w:val="003051DD"/>
    <w:rsid w:val="003236D7"/>
    <w:rsid w:val="00327596"/>
    <w:rsid w:val="00374D57"/>
    <w:rsid w:val="003757A0"/>
    <w:rsid w:val="003E11CA"/>
    <w:rsid w:val="004207C0"/>
    <w:rsid w:val="004363E1"/>
    <w:rsid w:val="00437191"/>
    <w:rsid w:val="00472CF2"/>
    <w:rsid w:val="00485DD4"/>
    <w:rsid w:val="00495297"/>
    <w:rsid w:val="004A4A50"/>
    <w:rsid w:val="004D7CC2"/>
    <w:rsid w:val="004E320A"/>
    <w:rsid w:val="005B1C0B"/>
    <w:rsid w:val="005B5058"/>
    <w:rsid w:val="005B7045"/>
    <w:rsid w:val="005C4EB8"/>
    <w:rsid w:val="005C5043"/>
    <w:rsid w:val="005F38CF"/>
    <w:rsid w:val="006218B7"/>
    <w:rsid w:val="006C4297"/>
    <w:rsid w:val="00731D5E"/>
    <w:rsid w:val="00733478"/>
    <w:rsid w:val="007A2D21"/>
    <w:rsid w:val="007A681D"/>
    <w:rsid w:val="008670F7"/>
    <w:rsid w:val="00872D84"/>
    <w:rsid w:val="00897623"/>
    <w:rsid w:val="008A0067"/>
    <w:rsid w:val="008B3F4C"/>
    <w:rsid w:val="008C0630"/>
    <w:rsid w:val="008F2240"/>
    <w:rsid w:val="009450F1"/>
    <w:rsid w:val="009B574C"/>
    <w:rsid w:val="009C2BBA"/>
    <w:rsid w:val="00A46138"/>
    <w:rsid w:val="00A63510"/>
    <w:rsid w:val="00A70E53"/>
    <w:rsid w:val="00A7435F"/>
    <w:rsid w:val="00A852FF"/>
    <w:rsid w:val="00A93D9D"/>
    <w:rsid w:val="00AE076C"/>
    <w:rsid w:val="00AF1797"/>
    <w:rsid w:val="00B67F64"/>
    <w:rsid w:val="00B85B77"/>
    <w:rsid w:val="00BD722B"/>
    <w:rsid w:val="00C23450"/>
    <w:rsid w:val="00C54427"/>
    <w:rsid w:val="00C66AC1"/>
    <w:rsid w:val="00CE7D2C"/>
    <w:rsid w:val="00D155B7"/>
    <w:rsid w:val="00D35237"/>
    <w:rsid w:val="00DA00C4"/>
    <w:rsid w:val="00DB2D5D"/>
    <w:rsid w:val="00DB4A4D"/>
    <w:rsid w:val="00DC0392"/>
    <w:rsid w:val="00E03410"/>
    <w:rsid w:val="00E208AC"/>
    <w:rsid w:val="00E43B57"/>
    <w:rsid w:val="00E860B1"/>
    <w:rsid w:val="00EB482F"/>
    <w:rsid w:val="00EE63D1"/>
    <w:rsid w:val="00EE6718"/>
    <w:rsid w:val="00F02E20"/>
    <w:rsid w:val="00F034CC"/>
    <w:rsid w:val="00F03942"/>
    <w:rsid w:val="00F04BD6"/>
    <w:rsid w:val="00F05361"/>
    <w:rsid w:val="00F17F4E"/>
    <w:rsid w:val="00F56672"/>
    <w:rsid w:val="00F7021F"/>
    <w:rsid w:val="00FB091E"/>
    <w:rsid w:val="00FD75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295A4"/>
  <w15:chartTrackingRefBased/>
  <w15:docId w15:val="{17CCC249-2D6A-49D5-82D8-5604A8F25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00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00C4"/>
    <w:pPr>
      <w:tabs>
        <w:tab w:val="center" w:pos="4153"/>
        <w:tab w:val="right" w:pos="8306"/>
      </w:tabs>
      <w:snapToGrid w:val="0"/>
      <w:jc w:val="center"/>
    </w:pPr>
    <w:rPr>
      <w:sz w:val="18"/>
      <w:szCs w:val="18"/>
    </w:rPr>
  </w:style>
  <w:style w:type="character" w:customStyle="1" w:styleId="a4">
    <w:name w:val="页眉 字符"/>
    <w:basedOn w:val="a0"/>
    <w:link w:val="a3"/>
    <w:uiPriority w:val="99"/>
    <w:rsid w:val="00DA00C4"/>
    <w:rPr>
      <w:sz w:val="18"/>
      <w:szCs w:val="18"/>
    </w:rPr>
  </w:style>
  <w:style w:type="paragraph" w:styleId="a5">
    <w:name w:val="footer"/>
    <w:basedOn w:val="a"/>
    <w:link w:val="a6"/>
    <w:uiPriority w:val="99"/>
    <w:unhideWhenUsed/>
    <w:rsid w:val="00DA00C4"/>
    <w:pPr>
      <w:tabs>
        <w:tab w:val="center" w:pos="4153"/>
        <w:tab w:val="right" w:pos="8306"/>
      </w:tabs>
      <w:snapToGrid w:val="0"/>
      <w:jc w:val="left"/>
    </w:pPr>
    <w:rPr>
      <w:sz w:val="18"/>
      <w:szCs w:val="18"/>
    </w:rPr>
  </w:style>
  <w:style w:type="character" w:customStyle="1" w:styleId="a6">
    <w:name w:val="页脚 字符"/>
    <w:basedOn w:val="a0"/>
    <w:link w:val="a5"/>
    <w:uiPriority w:val="99"/>
    <w:rsid w:val="00DA00C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356</Words>
  <Characters>2030</Characters>
  <Application>Microsoft Office Word</Application>
  <DocSecurity>0</DocSecurity>
  <Lines>16</Lines>
  <Paragraphs>4</Paragraphs>
  <ScaleCrop>false</ScaleCrop>
  <Company/>
  <LinksUpToDate>false</LinksUpToDate>
  <CharactersWithSpaces>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jiaxuejie jiaxuejie</dc:creator>
  <cp:keywords/>
  <dc:description/>
  <cp:lastModifiedBy>jiaxuejie jiaxuejie</cp:lastModifiedBy>
  <cp:revision>3</cp:revision>
  <dcterms:created xsi:type="dcterms:W3CDTF">2024-07-17T06:42:00Z</dcterms:created>
  <dcterms:modified xsi:type="dcterms:W3CDTF">2024-07-18T02:13:00Z</dcterms:modified>
</cp:coreProperties>
</file>