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364" w:x="3961" w:y="1717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建筑工程脚手架劳务合同协议条款</w:t>
      </w:r>
    </w:p>
    <w:p>
      <w:pPr>
        <w:framePr w:w="4844" w:x="270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架子搭设工程使用方：</w:t>
      </w:r>
    </w:p>
    <w:p>
      <w:pPr>
        <w:framePr w:w="484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架子搭设工程服务方：</w:t>
      </w:r>
    </w:p>
    <w:p>
      <w:pPr>
        <w:framePr w:w="3157" w:x="12570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（简称甲方）</w:t>
      </w:r>
    </w:p>
    <w:p>
      <w:pPr>
        <w:framePr w:w="3157" w:x="12570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（简称乙方）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根据双方友好协商以及乙方对本程充分了解，本着平等互利互惠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的原则，结合当前服务过程中的权利、义务和责任，更好地完成建筑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工程脚手架搭设任务，达成如下协议条款：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第一条</w:t>
      </w:r>
      <w:r>
        <w:rPr>
          <w:rFonts w:ascii="Times New Roman"/>
          <w:color w:val="000000"/>
          <w:spacing w:val="52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工程条款：</w:t>
      </w:r>
    </w:p>
    <w:p>
      <w:pPr>
        <w:framePr w:w="4421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一、建筑工程名称：</w:t>
      </w:r>
    </w:p>
    <w:p>
      <w:pPr>
        <w:framePr w:w="3578" w:x="3539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建筑工程地点：</w:t>
      </w:r>
    </w:p>
    <w:p>
      <w:pPr>
        <w:framePr w:w="14531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二、脚手架搭设形式：落地式及悬挑钢管双排脚手架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脚手架承包方式：包工、包料、包质量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脚手架搭设材料：钢管、竹榀、防火安全网、工字钢、卸料平台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等乙方施工所需材料。</w:t>
      </w:r>
    </w:p>
    <w:p>
      <w:pPr>
        <w:framePr w:w="5813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三、脚手架搭设建筑面积：</w:t>
      </w:r>
    </w:p>
    <w:p>
      <w:pPr>
        <w:framePr w:w="4000" w:x="3539" w:y="160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脚手架搭设单价：</w:t>
      </w:r>
    </w:p>
    <w:p>
      <w:pPr>
        <w:framePr w:w="4000" w:x="3543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满堂支撑架单价：</w:t>
      </w:r>
    </w:p>
    <w:p>
      <w:pPr>
        <w:framePr w:w="14338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第二条</w:t>
      </w:r>
      <w:r>
        <w:rPr>
          <w:rFonts w:ascii="Times New Roman"/>
          <w:color w:val="000000"/>
          <w:spacing w:val="31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脚手架使用期限和搭设工期：</w:t>
      </w:r>
    </w:p>
    <w:p>
      <w:pPr>
        <w:framePr w:w="14338" w:x="2701" w:y="1795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一、根据本建筑工程进度的实际情况，商定本脚手架使用期限为</w:t>
      </w:r>
      <w:r>
        <w:rPr>
          <w:rFonts w:ascii="Calibri"/>
          <w:color w:val="000000"/>
          <w:spacing w:val="0"/>
          <w:sz w:val="42"/>
        </w:rPr>
        <w:t>550</w:t>
      </w:r>
    </w:p>
    <w:p>
      <w:pPr>
        <w:framePr w:w="14338" w:x="2701" w:y="17952"/>
        <w:widowControl w:val="0"/>
        <w:autoSpaceDE w:val="0"/>
        <w:autoSpaceDN w:val="0"/>
        <w:spacing w:before="497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天，以施工日记为准，如需延期每月补贴</w:t>
      </w:r>
      <w:r>
        <w:rPr>
          <w:rFonts w:ascii="Times New Roman"/>
          <w:color w:val="000000"/>
          <w:spacing w:val="-42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</w:t>
      </w:r>
      <w:r>
        <w:rPr>
          <w:rFonts w:ascii="Calibri"/>
          <w:color w:val="000000"/>
          <w:spacing w:val="-5"/>
          <w:sz w:val="42"/>
        </w:rPr>
        <w:t>/M2</w:t>
      </w:r>
      <w:r>
        <w:rPr>
          <w:rFonts w:ascii="SimSun" w:hAnsi="SimSun" w:cs="SimSun"/>
          <w:color w:val="000000"/>
          <w:spacing w:val="1"/>
          <w:sz w:val="42"/>
        </w:rPr>
        <w:t>（不含地下室</w:t>
      </w:r>
    </w:p>
    <w:p>
      <w:pPr>
        <w:framePr w:w="14338" w:x="2701" w:y="17952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建筑面积）</w:t>
      </w:r>
    </w:p>
    <w:p>
      <w:pPr>
        <w:framePr w:w="10656" w:x="270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二、脚手架搭设工期如遇下列情况，工期应顺延：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327" w:x="3543" w:y="20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、甲方不能提供材料堆放场地，脚手架基础场地未平整、障碍</w:t>
      </w:r>
    </w:p>
    <w:p>
      <w:pPr>
        <w:framePr w:w="13327" w:x="3543" w:y="2038"/>
        <w:widowControl w:val="0"/>
        <w:autoSpaceDE w:val="0"/>
        <w:autoSpaceDN w:val="0"/>
        <w:spacing w:before="515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物未清除而影响进场施工。</w:t>
      </w:r>
    </w:p>
    <w:p>
      <w:pPr>
        <w:framePr w:w="14291" w:x="2701" w:y="3910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、由甲方提供的材料或设施未到位而影响进度（需甲方提供材</w:t>
      </w:r>
    </w:p>
    <w:p>
      <w:pPr>
        <w:framePr w:w="14291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5"/>
          <w:sz w:val="42"/>
        </w:rPr>
        <w:t>料必须提前一个月通知甲方）。</w:t>
      </w:r>
    </w:p>
    <w:p>
      <w:pPr>
        <w:framePr w:w="12355" w:x="3539" w:y="57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、非乙方原因使监督签证不及时而影响下一道工序施工。</w:t>
      </w:r>
    </w:p>
    <w:p>
      <w:pPr>
        <w:framePr w:w="12355" w:x="3539" w:y="578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、未按合同规定拔付工程进度款而影响工期。</w:t>
      </w:r>
    </w:p>
    <w:p>
      <w:pPr>
        <w:framePr w:w="12355" w:x="3539" w:y="5782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、因不可抗拒的因素而延误工期。</w:t>
      </w:r>
    </w:p>
    <w:p>
      <w:pPr>
        <w:framePr w:w="6781" w:x="2701" w:y="859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第三条</w:t>
      </w:r>
      <w:r>
        <w:rPr>
          <w:rFonts w:ascii="Times New Roman"/>
          <w:color w:val="000000"/>
          <w:spacing w:val="31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计算方式和付款方法：</w:t>
      </w:r>
    </w:p>
    <w:p>
      <w:pPr>
        <w:framePr w:w="3157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一、计算方法</w:t>
      </w:r>
    </w:p>
    <w:p>
      <w:pPr>
        <w:framePr w:w="14287" w:x="2701" w:y="10463"/>
        <w:widowControl w:val="0"/>
        <w:autoSpaceDE w:val="0"/>
        <w:autoSpaceDN w:val="0"/>
        <w:spacing w:before="0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脚手架搭设面积按单位工程零点以上外架搭设按建筑面积平方米</w:t>
      </w:r>
    </w:p>
    <w:p>
      <w:pPr>
        <w:framePr w:w="14287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计算，脚手架搭设总价款以总建筑面积乘以单位计算。</w:t>
      </w:r>
    </w:p>
    <w:p>
      <w:pPr>
        <w:framePr w:w="14287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二、付款方法</w:t>
      </w:r>
    </w:p>
    <w:p>
      <w:pPr>
        <w:framePr w:w="14867" w:x="2701" w:y="13272"/>
        <w:widowControl w:val="0"/>
        <w:autoSpaceDE w:val="0"/>
        <w:autoSpaceDN w:val="0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按月进度每月付款。满堂支撑架按月进度搭设完成支付</w:t>
      </w:r>
      <w:r>
        <w:rPr>
          <w:rFonts w:ascii="Times New Roman"/>
          <w:color w:val="000000"/>
          <w:spacing w:val="-9"/>
          <w:sz w:val="42"/>
        </w:rPr>
        <w:t xml:space="preserve"> </w:t>
      </w:r>
      <w:r>
        <w:rPr>
          <w:rFonts w:ascii="Calibri"/>
          <w:color w:val="000000"/>
          <w:spacing w:val="-1"/>
          <w:sz w:val="42"/>
        </w:rPr>
        <w:t>80%</w:t>
      </w:r>
      <w:r>
        <w:rPr>
          <w:rFonts w:ascii="SimSun" w:hAnsi="SimSun" w:cs="SimSun"/>
          <w:color w:val="000000"/>
          <w:spacing w:val="-64"/>
          <w:sz w:val="42"/>
        </w:rPr>
        <w:t>，主</w:t>
      </w:r>
    </w:p>
    <w:p>
      <w:pPr>
        <w:framePr w:w="14867" w:x="2701" w:y="1327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体结构完成付至</w:t>
      </w:r>
      <w:r>
        <w:rPr>
          <w:rFonts w:ascii="Calibri"/>
          <w:color w:val="000000"/>
          <w:spacing w:val="-1"/>
          <w:sz w:val="42"/>
        </w:rPr>
        <w:t>90%</w:t>
      </w:r>
      <w:r>
        <w:rPr>
          <w:rFonts w:ascii="SimSun" w:hAnsi="SimSun" w:cs="SimSun"/>
          <w:color w:val="000000"/>
          <w:spacing w:val="-25"/>
          <w:sz w:val="42"/>
        </w:rPr>
        <w:t>，结构验收后付至</w:t>
      </w:r>
      <w:r>
        <w:rPr>
          <w:rFonts w:ascii="Calibri"/>
          <w:color w:val="000000"/>
          <w:spacing w:val="0"/>
          <w:sz w:val="42"/>
        </w:rPr>
        <w:t>100%</w:t>
      </w:r>
      <w:r>
        <w:rPr>
          <w:rFonts w:ascii="SimSun" w:hAnsi="SimSun" w:cs="SimSun"/>
          <w:color w:val="000000"/>
          <w:spacing w:val="-22"/>
          <w:sz w:val="42"/>
        </w:rPr>
        <w:t>；外架搭设完成支付</w:t>
      </w:r>
      <w:r>
        <w:rPr>
          <w:rFonts w:ascii="Calibri"/>
          <w:color w:val="000000"/>
          <w:spacing w:val="0"/>
          <w:sz w:val="42"/>
        </w:rPr>
        <w:t>80%</w:t>
      </w:r>
      <w:r>
        <w:rPr>
          <w:rFonts w:ascii="SimSun" w:hAnsi="SimSun" w:cs="SimSun"/>
          <w:color w:val="000000"/>
          <w:spacing w:val="0"/>
          <w:sz w:val="42"/>
        </w:rPr>
        <w:t>，</w:t>
      </w:r>
    </w:p>
    <w:p>
      <w:pPr>
        <w:framePr w:w="14867" w:x="2701" w:y="13272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每拆除</w:t>
      </w:r>
      <w:r>
        <w:rPr>
          <w:rFonts w:ascii="Times New Roman"/>
          <w:color w:val="000000"/>
          <w:spacing w:val="2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1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层完成后付所拆除完成量</w:t>
      </w:r>
      <w:r>
        <w:rPr>
          <w:rFonts w:ascii="Times New Roman"/>
          <w:color w:val="000000"/>
          <w:spacing w:val="11"/>
          <w:sz w:val="42"/>
        </w:rPr>
        <w:t xml:space="preserve"> </w:t>
      </w:r>
      <w:r>
        <w:rPr>
          <w:rFonts w:ascii="Calibri"/>
          <w:color w:val="000000"/>
          <w:spacing w:val="-1"/>
          <w:sz w:val="42"/>
        </w:rPr>
        <w:t>90%</w:t>
      </w:r>
      <w:r>
        <w:rPr>
          <w:rFonts w:ascii="SimSun" w:hAnsi="SimSun" w:cs="SimSun"/>
          <w:color w:val="000000"/>
          <w:spacing w:val="1"/>
          <w:sz w:val="42"/>
        </w:rPr>
        <w:t>，材料退场后付至</w:t>
      </w:r>
      <w:r>
        <w:rPr>
          <w:rFonts w:ascii="Times New Roman"/>
          <w:color w:val="000000"/>
          <w:spacing w:val="1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100%</w:t>
      </w:r>
      <w:r>
        <w:rPr>
          <w:rFonts w:ascii="SimSun" w:hAnsi="SimSun" w:cs="SimSun"/>
          <w:color w:val="000000"/>
          <w:spacing w:val="1"/>
          <w:sz w:val="42"/>
        </w:rPr>
        <w:t>。若</w:t>
      </w:r>
    </w:p>
    <w:p>
      <w:pPr>
        <w:framePr w:w="14867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有变更部分，按实结算。</w:t>
      </w:r>
    </w:p>
    <w:p>
      <w:pPr>
        <w:framePr w:w="7750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第四条脚手架搭设的安全质量要求：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一、乙方所搭设的外架及模板支撑必须符合现行国家规定搭设方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法的验收标准及施工方案要求，并遵守安全操作规范，如违反操作所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发生的事故一切由乙方负责。</w:t>
      </w:r>
    </w:p>
    <w:p>
      <w:pPr>
        <w:framePr w:w="14531" w:x="2701" w:y="20761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二、按照现行泉州市政府、市建设局及洛江区有关规定的文件精</w:t>
      </w:r>
    </w:p>
    <w:p>
      <w:pPr>
        <w:framePr w:w="14531" w:x="2701" w:y="207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神及建筑工程安全施工的有关标准规定进行文明施工、安全施工，确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88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保通过“泉州市文明示范工地”的验收合格。</w:t>
      </w:r>
    </w:p>
    <w:p>
      <w:pPr>
        <w:framePr w:w="14366" w:x="2701" w:y="2974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三、结合施工现场实际情况严格按所指定的搭设方案及甲方工程</w:t>
      </w:r>
    </w:p>
    <w:p>
      <w:pPr>
        <w:framePr w:w="14366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技术人员的交底要求搭设。</w:t>
      </w:r>
    </w:p>
    <w:p>
      <w:pPr>
        <w:framePr w:w="14326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四、脚手架搭设操作工须经专业化安技培训后持证上岗，操作证</w:t>
      </w:r>
    </w:p>
    <w:p>
      <w:pPr>
        <w:framePr w:w="14326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复印件注明使用工地并经脚手架公司盖章。</w:t>
      </w:r>
    </w:p>
    <w:p>
      <w:pPr>
        <w:framePr w:w="14527" w:x="2701" w:y="671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五、根据工程需要配足带班人员、作业人员及架子材料等，保证</w:t>
      </w:r>
    </w:p>
    <w:p>
      <w:pPr>
        <w:framePr w:w="14527" w:x="2701" w:y="6718"/>
        <w:widowControl w:val="0"/>
        <w:autoSpaceDE w:val="0"/>
        <w:autoSpaceDN w:val="0"/>
        <w:spacing w:before="498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工序顺利施工，如拖延进度每天赔偿甲方经济损失人民币</w:t>
      </w:r>
      <w:r>
        <w:rPr>
          <w:rFonts w:ascii="Times New Roman"/>
          <w:color w:val="000000"/>
          <w:spacing w:val="-3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2000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元。</w:t>
      </w:r>
    </w:p>
    <w:p>
      <w:pPr>
        <w:framePr w:w="14527" w:x="2701" w:y="671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六、负责做好成品保护，造成损失由乙方负责修补，并承担其费</w:t>
      </w:r>
    </w:p>
    <w:p>
      <w:pPr>
        <w:framePr w:w="14527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用。</w:t>
      </w:r>
    </w:p>
    <w:p>
      <w:pPr>
        <w:framePr w:w="8234" w:x="3539" w:y="104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七、脚手架搭设具体技术要求见附件。</w:t>
      </w:r>
    </w:p>
    <w:p>
      <w:pPr>
        <w:framePr w:w="6781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第五条甲、乙双方的责任与义务</w:t>
      </w:r>
    </w:p>
    <w:p>
      <w:pPr>
        <w:framePr w:w="14295" w:x="2701" w:y="1233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、为确保脚手架搭设的工期和质量，甲方应按照本合同的规定履行</w:t>
      </w:r>
    </w:p>
    <w:p>
      <w:pPr>
        <w:framePr w:w="14295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自己应负责任，按期及时拔付架子搭设劳务款。</w:t>
      </w:r>
    </w:p>
    <w:p>
      <w:pPr>
        <w:framePr w:w="14295" w:x="2701" w:y="1233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、负责对整个工程的协调、管理及监督。</w:t>
      </w:r>
    </w:p>
    <w:p>
      <w:pPr>
        <w:framePr w:w="14295" w:x="2701" w:y="1514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、甲方应及时对进场的架子工操作工作进行安全教育和安全技术交</w:t>
      </w:r>
    </w:p>
    <w:p>
      <w:pPr>
        <w:framePr w:w="14295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底。</w:t>
      </w:r>
    </w:p>
    <w:p>
      <w:pPr>
        <w:framePr w:w="14777" w:x="2701" w:y="17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4</w:t>
      </w:r>
      <w:r>
        <w:rPr>
          <w:rFonts w:ascii="SimSun" w:hAnsi="SimSun" w:cs="SimSun"/>
          <w:color w:val="000000"/>
          <w:spacing w:val="-11"/>
          <w:sz w:val="42"/>
        </w:rPr>
        <w:t>、脚手架按建筑工程施工要求搭设完毕，甲方应按时组织中间验收，</w:t>
      </w:r>
    </w:p>
    <w:p>
      <w:pPr>
        <w:framePr w:w="14777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及时签证，做好交接班手续，未经签收验证，甲方提前使用，由此产</w:t>
      </w:r>
    </w:p>
    <w:p>
      <w:pPr>
        <w:framePr w:w="14777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生的一切事故，甲方应自行承担责任。</w:t>
      </w:r>
    </w:p>
    <w:p>
      <w:pPr>
        <w:framePr w:w="14419" w:x="2701" w:y="1982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、甲方施工使用架子时，不得随意破坏连墙点和加固措施，不得随</w:t>
      </w:r>
    </w:p>
    <w:p>
      <w:pPr>
        <w:framePr w:w="14419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61"/>
          <w:sz w:val="42"/>
        </w:rPr>
        <w:t>意拆除架体外侧的防护网；装饰脚手架的架上荷载不得超过</w:t>
      </w:r>
    </w:p>
    <w:p>
      <w:pPr>
        <w:framePr w:w="14419" w:x="2701" w:y="1982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1"/>
          <w:sz w:val="42"/>
        </w:rPr>
        <w:t>200kg/m2</w:t>
      </w:r>
      <w:r>
        <w:rPr>
          <w:rFonts w:ascii="SimSun" w:hAnsi="SimSun" w:cs="SimSun"/>
          <w:color w:val="000000"/>
          <w:spacing w:val="-6"/>
          <w:sz w:val="42"/>
        </w:rPr>
        <w:t>，上下皮脚手架堆物不得超过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Calibri"/>
          <w:color w:val="000000"/>
          <w:spacing w:val="2"/>
          <w:sz w:val="42"/>
        </w:rPr>
        <w:t>50kg/m2</w:t>
      </w:r>
      <w:r>
        <w:rPr>
          <w:rFonts w:ascii="SimSun" w:hAnsi="SimSun" w:cs="SimSun"/>
          <w:color w:val="000000"/>
          <w:spacing w:val="-9"/>
          <w:sz w:val="42"/>
        </w:rPr>
        <w:t>，不得往架上乱丢砖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头、石头等杂物，否则造成连墙点被毁，顶撑脱落，脚手板脱落，架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子围护被拆除失稳等而造成安全事故责任由甲方负责。</w:t>
      </w:r>
    </w:p>
    <w:p>
      <w:pPr>
        <w:framePr w:w="14531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6</w:t>
      </w:r>
      <w:r>
        <w:rPr>
          <w:rFonts w:ascii="SimSun" w:hAnsi="SimSun" w:cs="SimSun"/>
          <w:color w:val="000000"/>
          <w:spacing w:val="1"/>
          <w:sz w:val="42"/>
        </w:rPr>
        <w:t>、建筑工程由于中途停建、缓建或变更设计造成架子搭设延误或返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工，甲方应赔偿乙方的返工、倒运、停工及人员、材料调迁和积压的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损失。</w:t>
      </w:r>
    </w:p>
    <w:p>
      <w:pPr>
        <w:framePr w:w="4844" w:x="2701" w:y="6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二、乙方的责任和义务</w:t>
      </w:r>
    </w:p>
    <w:p>
      <w:pPr>
        <w:framePr w:w="15016" w:x="2701" w:y="765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、乙方必须执行甲方的施工方案和安全技术交底，严格遵守各级安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全监督的有关规章制度，服从各级相关部门的监督和检查。</w:t>
      </w:r>
    </w:p>
    <w:p>
      <w:pPr>
        <w:framePr w:w="15016" w:x="2701" w:y="765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、乙方应按甲方要求组织操作工人及材料进场，密切配合甲方的施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工要求。保质保量完成甲方交付的任务，架子搭设应与工程施工同步，</w:t>
      </w:r>
    </w:p>
    <w:p>
      <w:pPr>
        <w:framePr w:w="15016" w:x="2701" w:y="765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超过主体施工层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1.2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米，不得影响施工进程，否则拖延工期造成的损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失由乙方负责。</w:t>
      </w:r>
    </w:p>
    <w:p>
      <w:pPr>
        <w:framePr w:w="14531" w:x="2701" w:y="1327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、架子经验收及签证交付使用时，乙方应在施工期间负责对架子工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程的巡查、维护和加固。若因搭设质量和防护引起的安全事故由乙方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负责。</w:t>
      </w:r>
    </w:p>
    <w:p>
      <w:pPr>
        <w:framePr w:w="14777" w:x="2701" w:y="1608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4</w:t>
      </w:r>
      <w:r>
        <w:rPr>
          <w:rFonts w:ascii="SimSun" w:hAnsi="SimSun" w:cs="SimSun"/>
          <w:color w:val="000000"/>
          <w:spacing w:val="-4"/>
          <w:sz w:val="42"/>
        </w:rPr>
        <w:t>、乙方对甲方及有关部门提出的架子搭设工程安全隐患应及时整改、</w:t>
      </w:r>
    </w:p>
    <w:p>
      <w:pPr>
        <w:framePr w:w="14777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消除隐患，并做好整改后的复核签证，平时应主动配合做好架子搭设</w:t>
      </w:r>
    </w:p>
    <w:p>
      <w:pPr>
        <w:framePr w:w="14777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的分段验收、交接班手续和签证工作。</w:t>
      </w:r>
    </w:p>
    <w:p>
      <w:pPr>
        <w:framePr w:w="14531" w:x="2701" w:y="18889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、自觉做好施工现场的安全生产、文明施工，不得堆放材料，做好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工完料尽，做好安全网的挂设，保证整个外架的垂直、牢固、整齐和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清洁。</w:t>
      </w:r>
    </w:p>
    <w:p>
      <w:pPr>
        <w:framePr w:w="5089" w:x="2701" w:y="21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6</w:t>
      </w:r>
      <w:r>
        <w:rPr>
          <w:rFonts w:ascii="SimSun" w:hAnsi="SimSun" w:cs="SimSun"/>
          <w:color w:val="000000"/>
          <w:spacing w:val="1"/>
          <w:sz w:val="42"/>
        </w:rPr>
        <w:t>、劳保用品乙方自理。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355" w:x="2701" w:y="20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7</w:t>
      </w:r>
      <w:r>
        <w:rPr>
          <w:rFonts w:ascii="SimSun" w:hAnsi="SimSun" w:cs="SimSun"/>
          <w:color w:val="000000"/>
          <w:spacing w:val="1"/>
          <w:sz w:val="42"/>
        </w:rPr>
        <w:t>、乙方应无条件提供给木工组加固剪力墙的钢管及扣件。</w:t>
      </w:r>
    </w:p>
    <w:p>
      <w:pPr>
        <w:framePr w:w="12355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0"/>
          <w:sz w:val="42"/>
        </w:rPr>
        <w:t>8</w:t>
      </w:r>
      <w:r>
        <w:rPr>
          <w:rFonts w:ascii="SimSun" w:hAnsi="SimSun" w:cs="SimSun"/>
          <w:color w:val="000000"/>
          <w:spacing w:val="1"/>
          <w:sz w:val="42"/>
        </w:rPr>
        <w:t>、乙方必须提供有效材料检测报告及合格证。</w:t>
      </w:r>
    </w:p>
    <w:p>
      <w:pPr>
        <w:framePr w:w="1235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第六条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对事故的处理和责任：</w:t>
      </w:r>
    </w:p>
    <w:p>
      <w:pPr>
        <w:framePr w:w="14531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9"/>
          <w:sz w:val="42"/>
        </w:rPr>
        <w:t>甲、乙双方应自觉履行合同，互相支持和配合，杜绝事故的发生，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万一发生事故，应根据事故的性质，按照事故的报告规程及时报告有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关单位，并根据查处事故责任的规定，及时组织调查，查清原因，查</w:t>
      </w:r>
    </w:p>
    <w:p>
      <w:pPr>
        <w:framePr w:w="14531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明责任，并追究责任人和责任单位的经济赔偿，严肃查处事故的责任</w:t>
      </w:r>
    </w:p>
    <w:p>
      <w:pPr>
        <w:framePr w:w="14531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者。</w:t>
      </w:r>
    </w:p>
    <w:p>
      <w:pPr>
        <w:framePr w:w="6541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第七条</w:t>
      </w:r>
      <w:r>
        <w:rPr>
          <w:rFonts w:ascii="Times New Roman"/>
          <w:color w:val="000000"/>
          <w:spacing w:val="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违约责任及解决办法：</w:t>
      </w:r>
    </w:p>
    <w:p>
      <w:pPr>
        <w:framePr w:w="14531" w:x="2701" w:y="10463"/>
        <w:widowControl w:val="0"/>
        <w:autoSpaceDE w:val="0"/>
        <w:autoSpaceDN w:val="0"/>
        <w:spacing w:before="0" w:after="0" w:line="421" w:lineRule="exact"/>
        <w:ind w:left="63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甲、乙双方因故未能履行合同签约的责任，应在顾全大局的情况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下，双方协商、妥善解决。双方协商未果时，可邀请管辖的建筑安全</w:t>
      </w:r>
    </w:p>
    <w:p>
      <w:pPr>
        <w:framePr w:w="14531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监督站协商解决。</w:t>
      </w:r>
    </w:p>
    <w:p>
      <w:pPr>
        <w:framePr w:w="2945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第八条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附则</w:t>
      </w:r>
    </w:p>
    <w:p>
      <w:pPr>
        <w:framePr w:w="3578" w:x="353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一、本合同一式</w:t>
      </w:r>
    </w:p>
    <w:p>
      <w:pPr>
        <w:framePr w:w="3157" w:x="755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份，其中甲方</w:t>
      </w:r>
    </w:p>
    <w:p>
      <w:pPr>
        <w:framePr w:w="2315" w:x="11357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份，乙方</w:t>
      </w:r>
    </w:p>
    <w:p>
      <w:pPr>
        <w:framePr w:w="1472" w:x="14529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份，</w:t>
      </w:r>
    </w:p>
    <w:p>
      <w:pPr>
        <w:framePr w:w="1472" w:x="14529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份。</w:t>
      </w:r>
    </w:p>
    <w:p>
      <w:pPr>
        <w:framePr w:w="12109" w:x="2701" w:y="1514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为加强合同的管理和监督，合同应送建筑安全监督站备案</w:t>
      </w:r>
    </w:p>
    <w:p>
      <w:pPr>
        <w:framePr w:w="14346" w:x="2701" w:y="1608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二、本合同自双方签字盖章后生效，执行中若有变更或出现尚未</w:t>
      </w:r>
    </w:p>
    <w:p>
      <w:pPr>
        <w:framePr w:w="1434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考虑事项，可签订补充协议。</w:t>
      </w:r>
    </w:p>
    <w:p>
      <w:pPr>
        <w:framePr w:w="7990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第十条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双方认为其他需明确的条款：</w:t>
      </w:r>
    </w:p>
    <w:p>
      <w:pPr>
        <w:framePr w:w="7266" w:x="3539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一、本合同付款方式为现金支付。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2"/>
          <w:sz w:val="42"/>
        </w:rPr>
        <w:t>二、“四口”、“五临边”防护、基坑临边防护、施工电梯防护棚、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施工电梯平台架、安全通道、塔吊与建筑物过道及其他防护棚由乙方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搭设，不另计费。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7pt;height:6pt;margin-top:732.1pt;margin-left:323pt;mso-position-horizontal-relative:page;mso-position-vertical-relative:page;position:absolute;z-index:-251655168">
            <v:imagedata r:id="rId4" o:title=""/>
          </v:shape>
        </w:pict>
      </w:r>
      <w:r>
        <w:rPr>
          <w:noProof/>
        </w:rPr>
        <w:pict>
          <v:shape id="_x0000_s1026" type="#_x0000_t75" style="width:67pt;height:6pt;margin-top:732.1pt;margin-left:503pt;mso-position-horizontal-relative:page;mso-position-vertical-relative:page;position:absolute;z-index:-251656192">
            <v:imagedata r:id="rId5" o:title=""/>
          </v:shape>
        </w:pict>
      </w:r>
      <w:r>
        <w:rPr>
          <w:noProof/>
        </w:rPr>
        <w:pict>
          <v:shape id="_x0000_s1027" type="#_x0000_t75" style="width:78pt;height:6pt;margin-top:732.1pt;margin-left:651pt;mso-position-horizontal-relative:page;mso-position-vertical-relative:page;position:absolute;z-index:-251657216">
            <v:imagedata r:id="rId6" o:title=""/>
          </v:shape>
        </w:pict>
      </w:r>
      <w:r>
        <w:rPr>
          <w:noProof/>
        </w:rPr>
        <w:pict>
          <v:shape id="_x0000_s1028" type="#_x0000_t75" style="width:77pt;height:6pt;margin-top:779.1pt;margin-left:652pt;mso-position-horizontal-relative:page;mso-position-vertical-relative:page;position:absolute;z-index:-251658240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366" w:x="3539" w:y="20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三、本工程搭设脚手架必须保证有</w:t>
      </w:r>
      <w:r>
        <w:rPr>
          <w:rFonts w:ascii="Times New Roman"/>
          <w:color w:val="000000"/>
          <w:spacing w:val="-13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16</w:t>
      </w:r>
      <w:r>
        <w:rPr>
          <w:rFonts w:ascii="Times New Roman"/>
          <w:color w:val="000000"/>
          <w:spacing w:val="-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层以上的使用。</w:t>
      </w:r>
    </w:p>
    <w:p>
      <w:pPr>
        <w:framePr w:w="11366" w:x="3539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四、后浇带留用支撑架超过一个月后按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Calibri"/>
          <w:color w:val="000000"/>
          <w:spacing w:val="0"/>
          <w:sz w:val="42"/>
        </w:rPr>
        <w:t>8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元</w:t>
      </w:r>
      <w:r>
        <w:rPr>
          <w:rFonts w:ascii="Calibri"/>
          <w:color w:val="000000"/>
          <w:spacing w:val="0"/>
          <w:sz w:val="42"/>
        </w:rPr>
        <w:t>/M</w:t>
      </w:r>
      <w:r>
        <w:rPr>
          <w:rFonts w:ascii="SimSun" w:hAnsi="SimSun" w:cs="SimSun"/>
          <w:color w:val="000000"/>
          <w:spacing w:val="0"/>
          <w:sz w:val="42"/>
        </w:rPr>
        <w:t>。</w:t>
      </w:r>
    </w:p>
    <w:p>
      <w:pPr>
        <w:framePr w:w="2736" w:x="2701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甲方代表：</w:t>
      </w:r>
    </w:p>
    <w:p>
      <w:pPr>
        <w:framePr w:w="2736" w:x="9210" w:y="578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乙方代表：</w:t>
      </w:r>
    </w:p>
    <w:p>
      <w:pPr>
        <w:framePr w:w="4101" w:x="2701" w:y="765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日期</w:t>
      </w:r>
      <w:r>
        <w:rPr>
          <w:rFonts w:ascii="Calibri"/>
          <w:color w:val="000000"/>
          <w:spacing w:val="0"/>
          <w:sz w:val="42"/>
        </w:rPr>
        <w:t>:</w:t>
      </w:r>
      <w:r>
        <w:rPr>
          <w:rFonts w:ascii="Times New Roman"/>
          <w:color w:val="000000"/>
          <w:spacing w:val="52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31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日</w:t>
      </w:r>
    </w:p>
    <w:p>
      <w:pPr>
        <w:framePr w:w="1586" w:x="9322" w:y="765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日期</w:t>
      </w:r>
      <w:r>
        <w:rPr>
          <w:rFonts w:ascii="Calibri"/>
          <w:color w:val="000000"/>
          <w:spacing w:val="0"/>
          <w:sz w:val="42"/>
        </w:rPr>
        <w:t>:</w:t>
      </w:r>
    </w:p>
    <w:p>
      <w:pPr>
        <w:framePr w:w="2733" w:x="11954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31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31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8B1D9636-4ED4-4D7F-9726-DF77448B92C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7993AE3F-F762-4AE8-B9AC-8FA19512DE7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177C3AF-74B8-4B73-86BA-0C2D90532FF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632066AC-C321-425B-899F-8E8AC4C20832}"/>
  </w:font>
  <w:font w:name="Cambria">
    <w:charset w:val="00"/>
    <w:family w:val="auto"/>
    <w:pitch w:val="default"/>
    <w:embedRegular r:id="rId5" w:fontKey="{7A02625D-18D5-4295-AC5A-5F1F234231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187</Words>
  <Characters>2347</Characters>
  <Application>Microsoft Office Word</Application>
  <DocSecurity>0</DocSecurity>
  <Lines>122</Lines>
  <Paragraphs>122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2023-05-10T06:42:40Z</dcterms:created>
  <dcterms:modified xsi:type="dcterms:W3CDTF">2023-05-10T06:42:40Z</dcterms:modified>
</cp:coreProperties>
</file>