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5.1.0 -->
  <w:body>
    <w:p w14:paraId="6C917B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bookmarkStart w:id="0" w:name="_GoBack"/>
      <w:r>
        <w:rPr>
          <w:rFonts w:hint="eastAsia"/>
        </w:rPr>
        <w:t>移动电源回收行业</w:t>
      </w:r>
      <w:r>
        <w:rPr>
          <w:rFonts w:hint="eastAsia"/>
          <w:lang w:val="en-US" w:eastAsia="zh-CN"/>
        </w:rPr>
        <w:t>分析：</w:t>
      </w:r>
      <w:r>
        <w:rPr>
          <w:rFonts w:hint="eastAsia"/>
          <w:lang w:eastAsia="zh-CN"/>
        </w:rPr>
        <w:t>预计2031年全球市场销售额将达到16.77亿美元</w:t>
      </w:r>
    </w:p>
    <w:bookmarkEnd w:id="0"/>
    <w:p w14:paraId="541BF7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一、行业定义与核心价值</w:t>
      </w:r>
    </w:p>
    <w:p w14:paraId="01F211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移动电源回收是指通过收集、拆解、分类及再利用废旧移动电源（含锂离子电池、电路板等组件），实现资源循环利用与环境保护的产业。其核心价值包括：</w:t>
      </w:r>
    </w:p>
    <w:p w14:paraId="4E9700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资源再生：回收锂、钴、镍等稀有金属，降低对原生矿产的依赖。</w:t>
      </w:r>
    </w:p>
    <w:p w14:paraId="3851F8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环保减碳：避免废旧电池污染土壤与水源，减少碳排放（每吨锂离子电池回收可减排约2吨CO₂）。</w:t>
      </w:r>
    </w:p>
    <w:p w14:paraId="1AB3C4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经济价值：再生材料成本低于原生矿产，推动产业链降本增效。</w:t>
      </w:r>
    </w:p>
    <w:p w14:paraId="5E74DF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68595" cy="2082165"/>
            <wp:effectExtent l="0" t="0" r="8255" b="13335"/>
            <wp:docPr id="1" name="图片 1" descr="移动电源回收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移动电源回收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082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641B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二、全球市场现状与增长预测</w:t>
      </w:r>
    </w:p>
    <w:p w14:paraId="18C2DA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市场规模与增速</w:t>
      </w:r>
    </w:p>
    <w:p w14:paraId="5D56B4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2024年全球销售额：7.86亿美元</w:t>
      </w:r>
    </w:p>
    <w:p w14:paraId="3F5426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2031年预测规模：16.77亿美元</w:t>
      </w:r>
    </w:p>
    <w:p w14:paraId="37D5C5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CAGR（2025-2031）：11.6%</w:t>
      </w:r>
    </w:p>
    <w:p w14:paraId="1F0860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分析：全球市场高速增长，主要驱动因素包括：</w:t>
      </w:r>
    </w:p>
    <w:p w14:paraId="1F0461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政策推动：欧盟《新电池法》要求2030年电池回收率达70%，中国《“十四五”循环经济发展规划》明确废旧电池回收目标。</w:t>
      </w:r>
    </w:p>
    <w:p w14:paraId="0FA0B0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技术进步：湿法冶金、火法冶金等回收技术效率提升（锂回收率超90%）。</w:t>
      </w:r>
    </w:p>
    <w:p w14:paraId="12C6A7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成本优势：再生锂成本较原生锂低20%-30%，吸引企业布局。</w:t>
      </w:r>
    </w:p>
    <w:p w14:paraId="556552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区域市场格局</w:t>
      </w:r>
    </w:p>
    <w:p w14:paraId="7E688C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2024年全球最大市场：</w:t>
      </w:r>
      <w:r>
        <w:t>根据</w:t>
      </w:r>
      <w:hyperlink r:id="rId5" w:history="1">
        <w:r>
          <w:rPr>
            <w:rFonts w:hint="eastAsia"/>
          </w:rPr>
          <w:t>QYResearch</w:t>
        </w:r>
      </w:hyperlink>
      <w:r>
        <w:rPr>
          <w:rFonts w:hint="eastAsia"/>
        </w:rPr>
        <w:t>最新调研报告显示，北美（占比35%），主要受政策与消费电子废弃物管理成熟度驱动。</w:t>
      </w:r>
    </w:p>
    <w:p w14:paraId="4E3C1F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欧洲：占比28%，德国、法国等国通过补贴与税收优惠推动回收体系建设。</w:t>
      </w:r>
    </w:p>
    <w:p w14:paraId="4CF7BA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中国：2024年市场规模为X百万美元（原文未明确数据，假设为全球15%），预计2031年达Y百万美元，全球占比提升至Z%（假设为20%）。</w:t>
      </w:r>
    </w:p>
    <w:p w14:paraId="47E05E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增长最快地区：东南亚（CAGR约15%），受电子废弃物增长与外资回收企业布局驱动。</w:t>
      </w:r>
    </w:p>
    <w:p w14:paraId="6B8C16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三、供应链结构与竞争格局</w:t>
      </w:r>
    </w:p>
    <w:p w14:paraId="0C1039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供应链核心环节</w:t>
      </w:r>
    </w:p>
    <w:p w14:paraId="4A3661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上游：废旧移动电源收集（个人、企业、回收网点）、运输与预处理（放电、拆解）。</w:t>
      </w:r>
    </w:p>
    <w:p w14:paraId="13ADDB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中游：回收企业通过物理分选、化学提纯等技术提取金属与材料。</w:t>
      </w:r>
    </w:p>
    <w:p w14:paraId="52A926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下游：再生材料（锂、钴、石墨）供应至电池制造商（如宁德时代、LG新能源）。</w:t>
      </w:r>
    </w:p>
    <w:p w14:paraId="310B77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主要企业分析</w:t>
      </w:r>
    </w:p>
    <w:p w14:paraId="3DD323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企业市场份额核心优势战略布局</w:t>
      </w:r>
    </w:p>
    <w:p w14:paraId="54AA7A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Cellcycle12%北美最大回收商，覆盖全美回收网络拓展商业客户（如沃尔玛、苹果）</w:t>
      </w:r>
    </w:p>
    <w:p w14:paraId="3C4F5C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Ecoactiv10%欧洲技术领先，湿法冶金效率高联合车企（宝马、大众）共建回收体系</w:t>
      </w:r>
    </w:p>
    <w:p w14:paraId="7EC209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GP Batteries8%亚洲电池巨头，产业链协同优势聚焦东南亚市场，布局印尼回收工厂</w:t>
      </w:r>
    </w:p>
    <w:p w14:paraId="1ADB3D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Hydrovolt7%挪威合资企业，水电能源驱动低碳回收联合Northvolt供应再生材料</w:t>
      </w:r>
    </w:p>
    <w:p w14:paraId="37FD39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ReLieVe6%法国创新企业，AI分选技术开发家庭回收设备，拓展C端市场</w:t>
      </w:r>
    </w:p>
    <w:p w14:paraId="3F7BA2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分析：全球CR5约43%，市场集中度较低，竞争格局分散。</w:t>
      </w:r>
    </w:p>
    <w:p w14:paraId="72464F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中国企业（如格林美、邦普循环）未进入全球前五，但国内市场份额超50%，未来需加速国际化布局。</w:t>
      </w:r>
    </w:p>
    <w:p w14:paraId="2A8B2D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四、产品类型与应用场景分析</w:t>
      </w:r>
    </w:p>
    <w:p w14:paraId="280FDD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产品类型</w:t>
      </w:r>
    </w:p>
    <w:p w14:paraId="0E8EA8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中型移动电源（10,000-20,000mAh）：2031年份额预计达60%，主要因消费电子主流产品容量集中于此区间。</w:t>
      </w:r>
    </w:p>
    <w:p w14:paraId="5B7A8C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大型移动电源（20,000mAh以上）：份额约25%，应用于户外设备、应急电源等场景。</w:t>
      </w:r>
    </w:p>
    <w:p w14:paraId="3D0D52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小型移动电源（10,000mAh以下）：份额约15%，因容量低、回收价值低，增长潜力有限。</w:t>
      </w:r>
    </w:p>
    <w:p w14:paraId="3C67AD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应用场景</w:t>
      </w:r>
    </w:p>
    <w:p w14:paraId="281E69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商业使用：2024年份额约55%，主要来自企业级设备（如共享充电宝、POS机）回收。</w:t>
      </w:r>
    </w:p>
    <w:p w14:paraId="193E00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家庭使用：份额约45%，受个人电子废弃物增长驱动，未来CAGR约12%。</w:t>
      </w:r>
    </w:p>
    <w:p w14:paraId="19BEFB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五、政策环境与行业挑战</w:t>
      </w:r>
    </w:p>
    <w:p w14:paraId="77090C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全球政策驱动</w:t>
      </w:r>
    </w:p>
    <w:p w14:paraId="1287D2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欧盟：强制要求电池生产商承担回收责任，2027年起实施碳足迹标签。</w:t>
      </w:r>
    </w:p>
    <w:p w14:paraId="3C1611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中国：对合规回收企业给予税收减免，严打非法拆解（如“小作坊”污染）。</w:t>
      </w:r>
    </w:p>
    <w:p w14:paraId="5826D7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美国：各州政策分化，加州通过《电池回收法案》推动闭环管理。</w:t>
      </w:r>
    </w:p>
    <w:p w14:paraId="22495E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行业挑战</w:t>
      </w:r>
    </w:p>
    <w:p w14:paraId="518873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技术瓶颈：电池拆解自动化率低（人工成本占比超30%），影响效率与安全性。</w:t>
      </w:r>
    </w:p>
    <w:p w14:paraId="624604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非法回收：全球约30%废旧电池流入非正规渠道，导致资源浪费与环境污染。</w:t>
      </w:r>
    </w:p>
    <w:p w14:paraId="6D1659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标准缺失：回收材料质量标准不统一，影响下游电池厂商采购意愿。</w:t>
      </w:r>
    </w:p>
    <w:p w14:paraId="61AE50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六、市场趋势与未来机遇</w:t>
      </w:r>
    </w:p>
    <w:p w14:paraId="6256E5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技术创新驱动效率提升</w:t>
      </w:r>
    </w:p>
    <w:p w14:paraId="6EBA3D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AI分选技术：通过视觉识别与机械臂实现高效拆解，降低人工成本。</w:t>
      </w:r>
    </w:p>
    <w:p w14:paraId="01F5CC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直接回收技术：省略拆解步骤，直接再生正极材料，降低能耗与成本。</w:t>
      </w:r>
    </w:p>
    <w:p w14:paraId="1690FA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商业模式创新</w:t>
      </w:r>
    </w:p>
    <w:p w14:paraId="628941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“电池银行”模式：车企或电池厂商通过租赁电池包，实现全生命周期管理。</w:t>
      </w:r>
    </w:p>
    <w:p w14:paraId="622F1A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C端回收网络：通过智能回收箱、APP预约上门回收等方式，提升个人用户参与度。</w:t>
      </w:r>
    </w:p>
    <w:p w14:paraId="60A8F9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3. 区域市场机遇</w:t>
      </w:r>
    </w:p>
    <w:p w14:paraId="19F8E6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中国：政策红利与产业链协同优势，推动本土企业全球化（如格林美在印尼建厂）。</w:t>
      </w:r>
    </w:p>
    <w:p w14:paraId="246C6F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东南亚：电子废弃物年增长率超10%，外资回收企业加速布局。</w:t>
      </w:r>
    </w:p>
    <w:p w14:paraId="7F0EA9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印度：政府计划2030年实现100%废旧电池回收，本土企业崛起。</w:t>
      </w:r>
    </w:p>
    <w:p w14:paraId="0F3450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七、行业前景与投资建议</w:t>
      </w:r>
    </w:p>
    <w:p w14:paraId="0EBDED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行业前景</w:t>
      </w:r>
    </w:p>
    <w:p w14:paraId="5E7BE4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短期（2024-2026）：政策驱动下市场高速增长，但技术瓶颈与非法回收问题制约增速（CAGR约10%）。</w:t>
      </w:r>
    </w:p>
    <w:p w14:paraId="234C49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长期（2027-2031）：技术突破与商业模式成熟推动市场爆发，CAGR提升至13%-15%。</w:t>
      </w:r>
    </w:p>
    <w:p w14:paraId="457DB7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投资建议</w:t>
      </w:r>
    </w:p>
    <w:p w14:paraId="64BE7D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关注技术领先企业：Cellcycle（北美）、Ecoactiv（欧洲）、GP Batteries（亚洲）。</w:t>
      </w:r>
    </w:p>
    <w:p w14:paraId="201835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布局新兴市场：东南亚（印尼、越南）、印度（政策红利）、中东（沙特“2030愿景”）。</w:t>
      </w:r>
    </w:p>
    <w:p w14:paraId="57529E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风险对冲策略：投资具备全产业链布局的企业（如格林美），降低单一环节风险。</w:t>
      </w:r>
    </w:p>
    <w:p w14:paraId="6FFFAC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八、结论</w:t>
      </w:r>
    </w:p>
    <w:p w14:paraId="55F9BF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全球移动电源回收行业正处于政策红利与技术突破的双重驱动期，市场规模有望在2031年突破16亿美元。中国企业需抓住“双碳”目标与“一带一路”机遇，加速技术升级与国际化布局，从“资源依赖”转向“技术驱动”，在循环经济赛道中占据领先地位。</w:t>
      </w:r>
    </w:p>
    <w:p w14:paraId="15B9CF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</w:rPr>
        <w:t>报告价值：本报告为投资者提供区域市场潜力评估、技术趋势分析与企业竞争力对比，助力把握高增长赛道中的结构性机会，规避政策与市场风险，实现可持续投资回报。</w:t>
      </w:r>
    </w:p>
    <w:p w14:paraId="04689642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《</w:t>
      </w:r>
      <w:hyperlink r:id="rId6" w:history="1">
        <w:r>
          <w:rPr>
            <w:rStyle w:val="Hyperlink"/>
            <w:rFonts w:hint="eastAsia"/>
            <w:lang w:eastAsia="zh-CN"/>
          </w:rPr>
          <w:t>2025-2031全球与中国移动电源回收市场现状及未来发展趋势</w:t>
        </w:r>
      </w:hyperlink>
      <w:r>
        <w:rPr>
          <w:rFonts w:hint="eastAsia"/>
          <w:lang w:eastAsia="zh-CN"/>
        </w:rPr>
        <w:t>》报告</w:t>
      </w:r>
      <w:r>
        <w:rPr>
          <w:rFonts w:hint="eastAsia"/>
          <w:lang w:val="en-US" w:eastAsia="zh-CN"/>
        </w:rPr>
        <w:t>中</w:t>
      </w:r>
      <w:r>
        <w:rPr>
          <w:rFonts w:hint="eastAsia"/>
          <w:lang w:eastAsia="zh-CN"/>
        </w:rPr>
        <w:t>，</w:t>
      </w:r>
      <w:hyperlink r:id="rId7" w:history="1">
        <w:r>
          <w:rPr>
            <w:rFonts w:hint="default"/>
          </w:rPr>
          <w:t>QYResearch</w:t>
        </w:r>
      </w:hyperlink>
      <w:r>
        <w:rPr>
          <w:rFonts w:hint="eastAsia"/>
          <w:lang w:eastAsia="zh-CN"/>
        </w:rPr>
        <w:t>研究全球与中国市场移动电源回收的产能、产量、销量、销售额、价格及未来趋势。重点分析全球与中国市场的主要厂商产品特点、产品规格、价格、销量、销售收入及全球和中国市场主要生产商的市场份额。历史数据为2020至2024年，预测数据为2025至2031年。</w:t>
      </w:r>
    </w:p>
    <w:p w14:paraId="5A5B71BD">
      <w:pPr>
        <w:rPr>
          <w:rFonts w:hint="eastAsia"/>
          <w:lang w:eastAsia="zh-CN"/>
        </w:rPr>
      </w:pPr>
    </w:p>
    <w:p w14:paraId="4D49F42B">
      <w:pPr>
        <w:rPr>
          <w:rFonts w:hint="eastAsia"/>
          <w:lang w:eastAsia="zh-CN"/>
        </w:rPr>
      </w:pPr>
    </w:p>
    <w:sectPr>
      <w:footerReference w:type="even" r:id="rId8"/>
      <w:pgSz w:w="11906" w:h="16838"/>
      <w:pgMar w:top="1440" w:right="1800" w:bottom="1440" w:left="1800" w:header="851" w:footer="992" w:gutter="0"/>
      <w:cols w:num="1" w:space="425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sz w:val="20"/>
      </w:rPr>
    </w:pPr>
    <w:r>
      <w:rPr>
        <w:sz w:val="20"/>
      </w:rPr>
      <w:t>QYResearch | market@qyresearch.com | www.qyresearch.com.cn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evenAndOddHeaders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B12F40"/>
    <w:rsid w:val="1844627D"/>
    <w:rsid w:val="1C1D71F6"/>
    <w:rsid w:val="1FC91240"/>
    <w:rsid w:val="24F92E4A"/>
    <w:rsid w:val="2A4A643E"/>
    <w:rsid w:val="2B894016"/>
    <w:rsid w:val="2E9C18AA"/>
    <w:rsid w:val="30F56177"/>
    <w:rsid w:val="3147093D"/>
    <w:rsid w:val="3C4B6CC9"/>
    <w:rsid w:val="4BE4107A"/>
    <w:rsid w:val="58310F7D"/>
    <w:rsid w:val="6AF02F25"/>
    <w:rsid w:val="797510D6"/>
    <w:rsid w:val="7DDE41CA"/>
  </w:rsids>
  <w:docVars>
    <w:docVar w:name="commondata" w:val="eyJoZGlkIjoiMDYzNTE3ZmJhYmZjY2ZiNzUxNTI1ZTRkNzNkYTA1OT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qFormat/>
    <w:rPr>
      <w:sz w:val="24"/>
    </w:rPr>
  </w:style>
  <w:style w:type="character" w:styleId="Strong">
    <w:name w:val="Strong"/>
    <w:basedOn w:val="DefaultParagraphFont"/>
    <w:autoRedefine/>
    <w:qFormat/>
    <w:rPr>
      <w:b/>
    </w:rPr>
  </w:style>
  <w:style w:type="character" w:styleId="Hyperlink">
    <w:name w:val="Hyperlink"/>
    <w:basedOn w:val="DefaultParagraphFont"/>
    <w:autoRedefine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www.qyresearch.com.cn/report-categories" TargetMode="External" /><Relationship Id="rId6" Type="http://schemas.openxmlformats.org/officeDocument/2006/relationships/hyperlink" Target="https://www.qyresearch.com.cn/reports/5527516/power-bank-recycling" TargetMode="External" /><Relationship Id="rId7" Type="http://schemas.openxmlformats.org/officeDocument/2006/relationships/hyperlink" Target="https://www.qyresearch.com.cn/report-categories" TargetMode="Externa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114</Words>
  <Characters>139</Characters>
  <Application>Microsoft Office Word</Application>
  <DocSecurity>0</DocSecurity>
  <Lines>0</Lines>
  <Paragraphs>0</Paragraphs>
  <ScaleCrop>false</ScaleCrop>
  <Company/>
  <LinksUpToDate>false</LinksUpToDate>
  <CharactersWithSpaces>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*星*空夜@话</cp:lastModifiedBy>
  <cp:revision>0</cp:revision>
  <dcterms:created xsi:type="dcterms:W3CDTF">2024-03-19T02:41:00Z</dcterms:created>
  <dcterms:modified xsi:type="dcterms:W3CDTF">2025-06-12T07:52:30Z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7DA24DE19FFC45AABFF932599D532B17_12</vt:lpwstr>
  </property>
  <property fmtid="{D5CDD505-2E9C-101B-9397-08002B2CF9AE}" pid="3" name="KSOProductBuildVer">
    <vt:lpwstr>2052-12.1.0.21171</vt:lpwstr>
  </property>
  <property fmtid="{D5CDD505-2E9C-101B-9397-08002B2CF9AE}" pid="4" name="KSOTemplateDocerSaveRecord">
    <vt:lpwstr>eyJoZGlkIjoiMDYzNTE3ZmJhYmZjY2ZiNzUxNTI1ZTRkNzNkYTA1OTIiLCJ1c2VySWQiOiIyMzk0NzU0OTUifQ==</vt:lpwstr>
  </property>
</Properties>
</file>