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15143481"/>
      <w:bookmarkStart w:id="2" w:name="_Toc481801204"/>
      <w:bookmarkStart w:id="3" w:name="_Toc415818939"/>
      <w:bookmarkStart w:id="4" w:name="OLE_LINK15"/>
      <w:bookmarkStart w:id="5" w:name="_Toc438987549"/>
      <w:bookmarkStart w:id="6" w:name="OLE_LINK24"/>
      <w:bookmarkStart w:id="7" w:name="_Toc418070112"/>
      <w:bookmarkStart w:id="8" w:name="_Toc415142861"/>
      <w:bookmarkStart w:id="9" w:name="OLE_LINK40"/>
      <w:bookmarkStart w:id="10" w:name="_Toc453597319"/>
      <w:bookmarkStart w:id="11" w:name="OLE_LINK39"/>
      <w:bookmarkStart w:id="12" w:name="OLE_LINK13"/>
      <w:bookmarkStart w:id="13" w:name="_Toc517262917"/>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X射线检测系统</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X射线检测系统</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pPr>
      <w:r>
        <w:rPr>
          <w:rFonts w:hint="eastAsia"/>
          <w:lang w:eastAsia="zh-CN"/>
        </w:rPr>
        <w:t>X射线检测系统全球市场总体规模</w:t>
      </w:r>
    </w:p>
    <w:p>
      <w:r>
        <w:drawing>
          <wp:inline distT="0" distB="0" distL="0" distR="0">
            <wp:extent cx="2741295" cy="2326005"/>
            <wp:effectExtent l="0" t="0" r="1905" b="17145"/>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741295" cy="2326005"/>
                    </a:xfrm>
                    <a:prstGeom prst="rect">
                      <a:avLst/>
                    </a:prstGeom>
                    <a:noFill/>
                    <a:ln>
                      <a:noFill/>
                    </a:ln>
                  </pic:spPr>
                </pic:pic>
              </a:graphicData>
            </a:graphic>
          </wp:inline>
        </w:drawing>
      </w:r>
    </w:p>
    <w:p>
      <w:r>
        <w:rPr>
          <w:rFonts w:hint="eastAsia"/>
        </w:rPr>
        <w:t>据QYResearch调研团队最新报告“全球X射线检测系统市场报告2023-2029”显示，预计2029年全球X射线检测系统市场规模将达到16亿美元，未来几年年复合增长率CAGR为4.5%。</w:t>
      </w:r>
    </w:p>
    <w:p>
      <w:pPr>
        <w:pStyle w:val="148"/>
      </w:pPr>
      <w:r>
        <w:rPr>
          <w:rFonts w:hint="eastAsia"/>
          <w:lang w:eastAsia="zh-CN"/>
        </w:rPr>
        <w:t>X射线检测系统全球市场总体规模，预计2</w:t>
      </w:r>
      <w:r>
        <w:rPr>
          <w:lang w:eastAsia="zh-CN"/>
        </w:rPr>
        <w:t>029</w:t>
      </w:r>
      <w:r>
        <w:rPr>
          <w:rFonts w:hint="eastAsia"/>
          <w:lang w:eastAsia="zh-CN"/>
        </w:rPr>
        <w:t>年达到</w:t>
      </w:r>
      <w:r>
        <w:rPr>
          <w:rFonts w:hint="eastAsia"/>
          <w:lang w:val="en-US" w:eastAsia="zh-CN"/>
        </w:rPr>
        <w:t>16</w:t>
      </w:r>
      <w:r>
        <w:rPr>
          <w:rFonts w:hint="eastAsia"/>
          <w:lang w:eastAsia="zh-CN"/>
        </w:rPr>
        <w:t>亿美元</w:t>
      </w:r>
    </w:p>
    <w:p>
      <w:pPr>
        <w:pStyle w:val="143"/>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如上图表/数据，摘自QYResearch最新报告“</w:t>
      </w:r>
      <w:r>
        <w:rPr>
          <w:rFonts w:hint="eastAsia"/>
        </w:rPr>
        <w:t>全球</w:t>
      </w:r>
      <w:r>
        <w:rPr>
          <w:rFonts w:hint="eastAsia"/>
          <w:lang w:eastAsia="zh-CN"/>
        </w:rPr>
        <w:t>X射线检测系统</w:t>
      </w:r>
      <w:r>
        <w:rPr>
          <w:rFonts w:hint="eastAsia"/>
        </w:rPr>
        <w:t>市场研究报告2023-2029</w:t>
      </w:r>
      <w:r>
        <w:t>.</w:t>
      </w:r>
    </w:p>
    <w:p>
      <w:pPr>
        <w:pStyle w:val="145"/>
      </w:pPr>
    </w:p>
    <w:p>
      <w:pPr>
        <w:pStyle w:val="148"/>
        <w:rPr>
          <w:lang w:eastAsia="zh-CN"/>
        </w:rPr>
      </w:pPr>
      <w:r>
        <w:rPr>
          <w:rFonts w:hint="eastAsia"/>
          <w:lang w:eastAsia="zh-CN"/>
        </w:rPr>
        <w:t>全球X射线检测系统市场前</w:t>
      </w:r>
      <w:r>
        <w:rPr>
          <w:rFonts w:hint="eastAsia"/>
          <w:lang w:val="en-US" w:eastAsia="zh-CN"/>
        </w:rPr>
        <w:t>32</w:t>
      </w:r>
      <w:r>
        <w:rPr>
          <w:rFonts w:hint="eastAsia"/>
          <w:lang w:eastAsia="zh-CN"/>
        </w:rPr>
        <w:t>强生产商排名及市场占有率（持续更新）</w:t>
      </w:r>
    </w:p>
    <w:p>
      <w:pPr>
        <w:pStyle w:val="143"/>
        <w:ind w:firstLine="160" w:firstLineChars="100"/>
      </w:pPr>
      <w:r>
        <w:drawing>
          <wp:inline distT="0" distB="0" distL="114300" distR="114300">
            <wp:extent cx="4572000" cy="4599940"/>
            <wp:effectExtent l="0" t="0" r="0" b="1016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ind w:firstLine="160" w:firstLineChars="100"/>
      </w:pPr>
      <w:r>
        <w:rPr>
          <w:rFonts w:hint="eastAsia"/>
          <w:lang w:eastAsia="zh-CN"/>
        </w:rPr>
        <w:t>如上图表/数据，摘自QYResearch最新报告“</w:t>
      </w:r>
      <w:r>
        <w:rPr>
          <w:rFonts w:hint="eastAsia"/>
        </w:rPr>
        <w:t>全球</w:t>
      </w:r>
      <w:r>
        <w:rPr>
          <w:rFonts w:hint="eastAsia"/>
          <w:lang w:eastAsia="zh-CN"/>
        </w:rPr>
        <w:t>X射线检测系统</w:t>
      </w:r>
      <w:r>
        <w:rPr>
          <w:rFonts w:hint="eastAsia"/>
        </w:rPr>
        <w:t>市场研究报告2023-2029</w:t>
      </w:r>
      <w:r>
        <w:t>.</w:t>
      </w:r>
    </w:p>
    <w:p>
      <w:pPr>
        <w:pStyle w:val="145"/>
        <w:rPr>
          <w:rFonts w:hint="eastAsia"/>
          <w:lang w:eastAsia="zh-CN"/>
        </w:rPr>
      </w:pPr>
      <w:r>
        <w:rPr>
          <w:rFonts w:hint="eastAsia"/>
          <w:lang w:eastAsia="zh-CN"/>
        </w:rPr>
        <w:t>全球范围内X射线检测系统生产商主要包括YXLON International、Nikon Metrology、Nordson、ZEISS、Anritsu Industrial Solutions、GE Measurement &amp; Control、North Star Imaging、Viscom、ViTrox Corporation、Omron等。2022年，全球前五大厂商占有大约37.0%的市场份额。</w:t>
      </w:r>
    </w:p>
    <w:p>
      <w:pPr>
        <w:pStyle w:val="145"/>
        <w:rPr>
          <w:rFonts w:hint="eastAsia"/>
          <w:lang w:eastAsia="zh-CN"/>
        </w:rPr>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2023年全球X射线检测系统行业总体规模、主要企业国内外市场占有率及排名</w:t>
      </w:r>
    </w:p>
    <w:p>
      <w:pPr>
        <w:pStyle w:val="145"/>
        <w:rPr>
          <w:rFonts w:hint="eastAsia"/>
          <w:lang w:eastAsia="zh-CN"/>
        </w:rPr>
      </w:pPr>
      <w:r>
        <w:rPr>
          <w:rFonts w:hint="eastAsia"/>
          <w:lang w:eastAsia="zh-CN"/>
        </w:rPr>
        <w:t>根据研究团队调研统计，2022年全球X射线检测系统市场销售额达到了82亿元，预计2029年将达到108亿元，年复合增长率（CAGR）为4.2%（2023-2029）。中国市场在过去几年变化较快，2022年市场规模为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全球X射线检测系统（X-ray Inspection Systems）关键生产商包括YXLON International、Nikon Metrology、Nordson、ZEISS等，主要分布在北美、欧洲、中国、日本、印度、东南亚、中国台湾等地。前三大生产商共占据25%的市场份额，其中最大的生产商为YXLON International，占比为10%。就其产品类别而言，DR检测系统占有更多的市场份额，占比为65%；CT检测系统占比为35%。就其应用而言，一般工业与食品饮料行业是其主要应用领域，占比均为23%。此外，锂电池行业、半导体行业也是其应用领域。</w:t>
      </w:r>
    </w:p>
    <w:p>
      <w:pPr>
        <w:pStyle w:val="145"/>
        <w:rPr>
          <w:rFonts w:hint="eastAsia"/>
          <w:lang w:eastAsia="zh-CN"/>
        </w:rPr>
      </w:pPr>
      <w:r>
        <w:rPr>
          <w:rFonts w:hint="eastAsia"/>
          <w:lang w:eastAsia="zh-CN"/>
        </w:rPr>
        <w:t>本文侧重研究全球X射线检测系统总体规模及主要厂商占有率和排名，主要统计指标包括X射线检测系统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YXLON International</w:t>
      </w:r>
    </w:p>
    <w:p>
      <w:pPr>
        <w:pStyle w:val="145"/>
        <w:rPr>
          <w:rFonts w:hint="eastAsia"/>
          <w:lang w:eastAsia="zh-CN"/>
        </w:rPr>
      </w:pPr>
      <w:r>
        <w:rPr>
          <w:rFonts w:hint="eastAsia"/>
          <w:lang w:eastAsia="zh-CN"/>
        </w:rPr>
        <w:t xml:space="preserve">    Nikon Metrology</w:t>
      </w:r>
    </w:p>
    <w:p>
      <w:pPr>
        <w:pStyle w:val="145"/>
        <w:rPr>
          <w:rFonts w:hint="eastAsia"/>
          <w:lang w:eastAsia="zh-CN"/>
        </w:rPr>
      </w:pPr>
      <w:r>
        <w:rPr>
          <w:rFonts w:hint="eastAsia"/>
          <w:lang w:eastAsia="zh-CN"/>
        </w:rPr>
        <w:t xml:space="preserve">    Nordson</w:t>
      </w:r>
    </w:p>
    <w:p>
      <w:pPr>
        <w:pStyle w:val="145"/>
        <w:rPr>
          <w:rFonts w:hint="eastAsia"/>
          <w:lang w:eastAsia="zh-CN"/>
        </w:rPr>
      </w:pPr>
      <w:r>
        <w:rPr>
          <w:rFonts w:hint="eastAsia"/>
          <w:lang w:eastAsia="zh-CN"/>
        </w:rPr>
        <w:t xml:space="preserve">    ZEISS</w:t>
      </w:r>
    </w:p>
    <w:p>
      <w:pPr>
        <w:pStyle w:val="145"/>
        <w:rPr>
          <w:rFonts w:hint="eastAsia"/>
          <w:lang w:eastAsia="zh-CN"/>
        </w:rPr>
      </w:pPr>
      <w:r>
        <w:rPr>
          <w:rFonts w:hint="eastAsia"/>
          <w:lang w:eastAsia="zh-CN"/>
        </w:rPr>
        <w:t xml:space="preserve">    GE Measurement &amp; Control</w:t>
      </w:r>
    </w:p>
    <w:p>
      <w:pPr>
        <w:pStyle w:val="145"/>
        <w:rPr>
          <w:rFonts w:hint="eastAsia"/>
          <w:lang w:eastAsia="zh-CN"/>
        </w:rPr>
      </w:pPr>
      <w:r>
        <w:rPr>
          <w:rFonts w:hint="eastAsia"/>
          <w:lang w:eastAsia="zh-CN"/>
        </w:rPr>
        <w:t xml:space="preserve">    Anritsu Industrial Solutions</w:t>
      </w:r>
    </w:p>
    <w:p>
      <w:pPr>
        <w:pStyle w:val="145"/>
        <w:rPr>
          <w:rFonts w:hint="eastAsia"/>
          <w:lang w:eastAsia="zh-CN"/>
        </w:rPr>
      </w:pPr>
      <w:r>
        <w:rPr>
          <w:rFonts w:hint="eastAsia"/>
          <w:lang w:eastAsia="zh-CN"/>
        </w:rPr>
        <w:t xml:space="preserve">    North Star Imaging</w:t>
      </w:r>
    </w:p>
    <w:p>
      <w:pPr>
        <w:pStyle w:val="145"/>
        <w:rPr>
          <w:rFonts w:hint="eastAsia"/>
          <w:lang w:eastAsia="zh-CN"/>
        </w:rPr>
      </w:pPr>
      <w:r>
        <w:rPr>
          <w:rFonts w:hint="eastAsia"/>
          <w:lang w:eastAsia="zh-CN"/>
        </w:rPr>
        <w:t xml:space="preserve">    Ishida</w:t>
      </w:r>
    </w:p>
    <w:p>
      <w:pPr>
        <w:pStyle w:val="145"/>
        <w:rPr>
          <w:rFonts w:hint="eastAsia"/>
          <w:lang w:eastAsia="zh-CN"/>
        </w:rPr>
      </w:pPr>
      <w:r>
        <w:rPr>
          <w:rFonts w:hint="eastAsia"/>
          <w:lang w:eastAsia="zh-CN"/>
        </w:rPr>
        <w:t xml:space="preserve">    Mettler-Toledo International</w:t>
      </w:r>
    </w:p>
    <w:p>
      <w:pPr>
        <w:pStyle w:val="145"/>
        <w:rPr>
          <w:rFonts w:hint="eastAsia"/>
          <w:lang w:eastAsia="zh-CN"/>
        </w:rPr>
      </w:pPr>
      <w:r>
        <w:rPr>
          <w:rFonts w:hint="eastAsia"/>
          <w:lang w:eastAsia="zh-CN"/>
        </w:rPr>
        <w:t xml:space="preserve">    VJ Technologies</w:t>
      </w:r>
    </w:p>
    <w:p>
      <w:pPr>
        <w:pStyle w:val="145"/>
        <w:rPr>
          <w:rFonts w:hint="eastAsia"/>
          <w:lang w:eastAsia="zh-CN"/>
        </w:rPr>
      </w:pPr>
      <w:r>
        <w:rPr>
          <w:rFonts w:hint="eastAsia"/>
          <w:lang w:eastAsia="zh-CN"/>
        </w:rPr>
        <w:t xml:space="preserve">    Sesotec GmbH</w:t>
      </w:r>
    </w:p>
    <w:p>
      <w:pPr>
        <w:pStyle w:val="145"/>
        <w:rPr>
          <w:rFonts w:hint="eastAsia"/>
          <w:lang w:eastAsia="zh-CN"/>
        </w:rPr>
      </w:pPr>
      <w:r>
        <w:rPr>
          <w:rFonts w:hint="eastAsia"/>
          <w:lang w:eastAsia="zh-CN"/>
        </w:rPr>
        <w:t xml:space="preserve">    Aolong Group</w:t>
      </w:r>
    </w:p>
    <w:p>
      <w:pPr>
        <w:pStyle w:val="145"/>
        <w:rPr>
          <w:rFonts w:hint="eastAsia"/>
          <w:lang w:eastAsia="zh-CN"/>
        </w:rPr>
      </w:pPr>
      <w:r>
        <w:rPr>
          <w:rFonts w:hint="eastAsia"/>
          <w:lang w:eastAsia="zh-CN"/>
        </w:rPr>
        <w:t xml:space="preserve">    Loma</w:t>
      </w:r>
    </w:p>
    <w:p>
      <w:pPr>
        <w:pStyle w:val="145"/>
        <w:rPr>
          <w:rFonts w:hint="eastAsia"/>
          <w:lang w:eastAsia="zh-CN"/>
        </w:rPr>
      </w:pPr>
      <w:r>
        <w:rPr>
          <w:rFonts w:hint="eastAsia"/>
          <w:lang w:eastAsia="zh-CN"/>
        </w:rPr>
        <w:t xml:space="preserve">    VisiConsult</w:t>
      </w:r>
    </w:p>
    <w:p>
      <w:pPr>
        <w:pStyle w:val="145"/>
        <w:rPr>
          <w:rFonts w:hint="eastAsia"/>
          <w:lang w:eastAsia="zh-CN"/>
        </w:rPr>
      </w:pPr>
      <w:r>
        <w:rPr>
          <w:rFonts w:hint="eastAsia"/>
          <w:lang w:eastAsia="zh-CN"/>
        </w:rPr>
        <w:t xml:space="preserve">    DanDong Huari</w:t>
      </w:r>
    </w:p>
    <w:p>
      <w:pPr>
        <w:pStyle w:val="145"/>
        <w:rPr>
          <w:rFonts w:hint="eastAsia"/>
          <w:lang w:eastAsia="zh-CN"/>
        </w:rPr>
      </w:pPr>
      <w:r>
        <w:rPr>
          <w:rFonts w:hint="eastAsia"/>
          <w:lang w:eastAsia="zh-CN"/>
        </w:rPr>
        <w:t xml:space="preserve">    HEITEC PTS</w:t>
      </w:r>
    </w:p>
    <w:p>
      <w:pPr>
        <w:pStyle w:val="145"/>
        <w:rPr>
          <w:rFonts w:hint="eastAsia"/>
          <w:lang w:eastAsia="zh-CN"/>
        </w:rPr>
      </w:pPr>
      <w:r>
        <w:rPr>
          <w:rFonts w:hint="eastAsia"/>
          <w:lang w:eastAsia="zh-CN"/>
        </w:rPr>
        <w:t xml:space="preserve">    Shimadzu</w:t>
      </w:r>
    </w:p>
    <w:p>
      <w:pPr>
        <w:pStyle w:val="145"/>
        <w:rPr>
          <w:rFonts w:hint="eastAsia"/>
          <w:lang w:eastAsia="zh-CN"/>
        </w:rPr>
      </w:pPr>
      <w:r>
        <w:rPr>
          <w:rFonts w:hint="eastAsia"/>
          <w:lang w:eastAsia="zh-CN"/>
        </w:rPr>
        <w:t xml:space="preserve">    Thermo Fisher Scientific</w:t>
      </w:r>
    </w:p>
    <w:p>
      <w:pPr>
        <w:pStyle w:val="145"/>
        <w:rPr>
          <w:rFonts w:hint="eastAsia"/>
          <w:lang w:eastAsia="zh-CN"/>
        </w:rPr>
      </w:pPr>
      <w:r>
        <w:rPr>
          <w:rFonts w:hint="eastAsia"/>
          <w:lang w:eastAsia="zh-CN"/>
        </w:rPr>
        <w:t xml:space="preserve">    Dylog</w:t>
      </w:r>
    </w:p>
    <w:p>
      <w:pPr>
        <w:pStyle w:val="145"/>
        <w:rPr>
          <w:rFonts w:hint="eastAsia"/>
          <w:lang w:eastAsia="zh-CN"/>
        </w:rPr>
      </w:pPr>
      <w:r>
        <w:rPr>
          <w:rFonts w:hint="eastAsia"/>
          <w:lang w:eastAsia="zh-CN"/>
        </w:rPr>
        <w:t xml:space="preserve">    Meyer</w:t>
      </w:r>
    </w:p>
    <w:p>
      <w:pPr>
        <w:pStyle w:val="145"/>
        <w:rPr>
          <w:rFonts w:hint="eastAsia"/>
          <w:lang w:eastAsia="zh-CN"/>
        </w:rPr>
      </w:pPr>
      <w:r>
        <w:rPr>
          <w:rFonts w:hint="eastAsia"/>
          <w:lang w:eastAsia="zh-CN"/>
        </w:rPr>
        <w:t xml:space="preserve">    Minebea Intec</w:t>
      </w:r>
    </w:p>
    <w:p>
      <w:pPr>
        <w:pStyle w:val="145"/>
        <w:rPr>
          <w:rFonts w:hint="eastAsia"/>
          <w:lang w:eastAsia="zh-CN"/>
        </w:rPr>
      </w:pPr>
      <w:r>
        <w:rPr>
          <w:rFonts w:hint="eastAsia"/>
          <w:lang w:eastAsia="zh-CN"/>
        </w:rPr>
        <w:t xml:space="preserve">    Mesnac</w:t>
      </w:r>
    </w:p>
    <w:p>
      <w:pPr>
        <w:pStyle w:val="145"/>
        <w:rPr>
          <w:rFonts w:hint="eastAsia"/>
          <w:lang w:eastAsia="zh-CN"/>
        </w:rPr>
      </w:pPr>
      <w:r>
        <w:rPr>
          <w:rFonts w:hint="eastAsia"/>
          <w:lang w:eastAsia="zh-CN"/>
        </w:rPr>
        <w:t xml:space="preserve">    Viscom</w:t>
      </w:r>
    </w:p>
    <w:p>
      <w:pPr>
        <w:pStyle w:val="145"/>
        <w:rPr>
          <w:rFonts w:hint="eastAsia"/>
          <w:lang w:eastAsia="zh-CN"/>
        </w:rPr>
      </w:pPr>
      <w:r>
        <w:rPr>
          <w:rFonts w:hint="eastAsia"/>
          <w:lang w:eastAsia="zh-CN"/>
        </w:rPr>
        <w:t xml:space="preserve">    Omron</w:t>
      </w:r>
    </w:p>
    <w:p>
      <w:pPr>
        <w:pStyle w:val="145"/>
        <w:rPr>
          <w:rFonts w:hint="eastAsia"/>
          <w:lang w:eastAsia="zh-CN"/>
        </w:rPr>
      </w:pPr>
      <w:r>
        <w:rPr>
          <w:rFonts w:hint="eastAsia"/>
          <w:lang w:eastAsia="zh-CN"/>
        </w:rPr>
        <w:t xml:space="preserve">    ViTrox Corporation</w:t>
      </w:r>
    </w:p>
    <w:p>
      <w:pPr>
        <w:pStyle w:val="145"/>
        <w:rPr>
          <w:rFonts w:hint="eastAsia"/>
          <w:lang w:eastAsia="zh-CN"/>
        </w:rPr>
      </w:pPr>
      <w:r>
        <w:rPr>
          <w:rFonts w:hint="eastAsia"/>
          <w:lang w:eastAsia="zh-CN"/>
        </w:rPr>
        <w:t xml:space="preserve">    Saki Corporation</w:t>
      </w:r>
    </w:p>
    <w:p>
      <w:pPr>
        <w:pStyle w:val="145"/>
        <w:rPr>
          <w:rFonts w:hint="eastAsia"/>
          <w:lang w:eastAsia="zh-CN"/>
        </w:rPr>
      </w:pPr>
      <w:r>
        <w:rPr>
          <w:rFonts w:hint="eastAsia"/>
          <w:lang w:eastAsia="zh-CN"/>
        </w:rPr>
        <w:t xml:space="preserve">    Test Research Inc. (TRI)</w:t>
      </w:r>
    </w:p>
    <w:p>
      <w:pPr>
        <w:pStyle w:val="145"/>
        <w:rPr>
          <w:rFonts w:hint="eastAsia"/>
          <w:lang w:eastAsia="zh-CN"/>
        </w:rPr>
      </w:pPr>
      <w:r>
        <w:rPr>
          <w:rFonts w:hint="eastAsia"/>
          <w:lang w:eastAsia="zh-CN"/>
        </w:rPr>
        <w:t xml:space="preserve">    Unicomp Technology</w:t>
      </w:r>
    </w:p>
    <w:p>
      <w:pPr>
        <w:pStyle w:val="145"/>
        <w:rPr>
          <w:rFonts w:hint="eastAsia"/>
          <w:lang w:eastAsia="zh-CN"/>
        </w:rPr>
      </w:pPr>
      <w:r>
        <w:rPr>
          <w:rFonts w:hint="eastAsia"/>
          <w:lang w:eastAsia="zh-CN"/>
        </w:rPr>
        <w:t xml:space="preserve">    Waygate Technologie</w:t>
      </w:r>
    </w:p>
    <w:p>
      <w:pPr>
        <w:pStyle w:val="145"/>
        <w:rPr>
          <w:rFonts w:hint="eastAsia"/>
          <w:lang w:eastAsia="zh-CN"/>
        </w:rPr>
      </w:pPr>
      <w:r>
        <w:rPr>
          <w:rFonts w:hint="eastAsia"/>
          <w:lang w:eastAsia="zh-CN"/>
        </w:rPr>
        <w:t xml:space="preserve">    Goepel Electronic</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DR检测系统</w:t>
      </w:r>
    </w:p>
    <w:p>
      <w:pPr>
        <w:pStyle w:val="145"/>
        <w:rPr>
          <w:rFonts w:hint="eastAsia"/>
          <w:lang w:eastAsia="zh-CN"/>
        </w:rPr>
      </w:pPr>
      <w:r>
        <w:rPr>
          <w:rFonts w:hint="eastAsia"/>
          <w:lang w:eastAsia="zh-CN"/>
        </w:rPr>
        <w:t xml:space="preserve">    CT检测系统</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一般工业</w:t>
      </w:r>
    </w:p>
    <w:p>
      <w:pPr>
        <w:pStyle w:val="145"/>
        <w:rPr>
          <w:rFonts w:hint="eastAsia"/>
          <w:lang w:eastAsia="zh-CN"/>
        </w:rPr>
      </w:pPr>
      <w:r>
        <w:rPr>
          <w:rFonts w:hint="eastAsia"/>
          <w:lang w:eastAsia="zh-CN"/>
        </w:rPr>
        <w:t xml:space="preserve">    橡胶和塑料行业</w:t>
      </w:r>
    </w:p>
    <w:p>
      <w:pPr>
        <w:pStyle w:val="145"/>
        <w:rPr>
          <w:rFonts w:hint="eastAsia"/>
          <w:lang w:eastAsia="zh-CN"/>
        </w:rPr>
      </w:pPr>
      <w:r>
        <w:rPr>
          <w:rFonts w:hint="eastAsia"/>
          <w:lang w:eastAsia="zh-CN"/>
        </w:rPr>
        <w:t xml:space="preserve">    半导体行业</w:t>
      </w:r>
    </w:p>
    <w:p>
      <w:pPr>
        <w:pStyle w:val="145"/>
        <w:rPr>
          <w:rFonts w:hint="eastAsia"/>
          <w:lang w:eastAsia="zh-CN"/>
        </w:rPr>
      </w:pPr>
      <w:r>
        <w:rPr>
          <w:rFonts w:hint="eastAsia"/>
          <w:lang w:eastAsia="zh-CN"/>
        </w:rPr>
        <w:t xml:space="preserve">    锂电池行业</w:t>
      </w:r>
    </w:p>
    <w:p>
      <w:pPr>
        <w:pStyle w:val="145"/>
        <w:rPr>
          <w:rFonts w:hint="eastAsia"/>
          <w:lang w:eastAsia="zh-CN"/>
        </w:rPr>
      </w:pPr>
      <w:r>
        <w:rPr>
          <w:rFonts w:hint="eastAsia"/>
          <w:lang w:eastAsia="zh-CN"/>
        </w:rPr>
        <w:t xml:space="preserve">    食品饮料行业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 xml:space="preserve">    中国台湾</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第4章：全球X射线检测系统主要地区分析，包括销量、销售收入等</w:t>
      </w:r>
    </w:p>
    <w:p>
      <w:pPr>
        <w:pStyle w:val="145"/>
        <w:rPr>
          <w:rFonts w:hint="eastAsia"/>
          <w:lang w:eastAsia="zh-CN"/>
        </w:rPr>
      </w:pPr>
      <w:r>
        <w:rPr>
          <w:rFonts w:hint="eastAsia"/>
          <w:lang w:eastAsia="zh-CN"/>
        </w:rPr>
        <w:t>第5章：全球X射线检测系统主要厂商基本情况介绍，包括公司简介、X射线检测系统产品型号、销量、收入、价格及最新动态等</w:t>
      </w:r>
    </w:p>
    <w:p>
      <w:pPr>
        <w:pStyle w:val="145"/>
        <w:rPr>
          <w:rFonts w:hint="eastAsia"/>
          <w:lang w:eastAsia="zh-CN"/>
        </w:rPr>
      </w:pPr>
      <w:r>
        <w:rPr>
          <w:rFonts w:hint="eastAsia"/>
          <w:lang w:eastAsia="zh-CN"/>
        </w:rPr>
        <w:t>第6章：全球不同产品类型X射线检测系统销量、收入、价格及份额等</w:t>
      </w:r>
    </w:p>
    <w:p>
      <w:pPr>
        <w:pStyle w:val="145"/>
        <w:rPr>
          <w:rFonts w:hint="eastAsia"/>
          <w:lang w:eastAsia="zh-CN"/>
        </w:rPr>
      </w:pPr>
      <w:r>
        <w:rPr>
          <w:rFonts w:hint="eastAsia"/>
          <w:lang w:eastAsia="zh-CN"/>
        </w:rPr>
        <w:t>第7章：全球不同应用X射线检测系统销量、收入、价格及份额等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C3F55A4"/>
    <w:rsid w:val="15DF0879"/>
    <w:rsid w:val="173E0EAF"/>
    <w:rsid w:val="17452651"/>
    <w:rsid w:val="26082272"/>
    <w:rsid w:val="2A1C20EF"/>
    <w:rsid w:val="35052D1F"/>
    <w:rsid w:val="441D6D71"/>
    <w:rsid w:val="57F5327D"/>
    <w:rsid w:val="5B3170FC"/>
    <w:rsid w:val="783C2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a:t>全球市场规模（百万美元）</a:t>
            </a:r>
            <a:endParaRPr lang="en-US" altLang="zh-CN" sz="1100">
              <a:latin typeface="Book Antiqua" panose="02040602050305030304" pitchFamily="1" charset="0"/>
            </a:endParaRPr>
          </a:p>
        </c:rich>
      </c:tx>
      <c:layout>
        <c:manualLayout>
          <c:xMode val="edge"/>
          <c:yMode val="edge"/>
          <c:x val="0.369168953351627"/>
          <c:y val="0.0213826032800498"/>
        </c:manualLayout>
      </c:layout>
      <c:overlay val="0"/>
      <c:spPr>
        <a:noFill/>
        <a:ln>
          <a:noFill/>
        </a:ln>
        <a:effectLst/>
      </c:spPr>
    </c:title>
    <c:autoTitleDeleted val="0"/>
    <c:plotArea>
      <c:layout>
        <c:manualLayout>
          <c:layoutTarget val="inner"/>
          <c:xMode val="edge"/>
          <c:yMode val="edge"/>
          <c:x val="0.0597760258625278"/>
          <c:y val="0.109896740913513"/>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1098.62</c:v>
                </c:pt>
                <c:pt idx="1">
                  <c:v>1177.23</c:v>
                </c:pt>
                <c:pt idx="2">
                  <c:v>1599.96072660855</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40624697234778"/>
          <c:y val="0.0346320818516983"/>
        </c:manualLayout>
      </c:layout>
      <c:overlay val="0"/>
      <c:spPr>
        <a:noFill/>
        <a:ln>
          <a:noFill/>
        </a:ln>
        <a:effectLst/>
      </c:spPr>
    </c:title>
    <c:autoTitleDeleted val="0"/>
    <c:plotArea>
      <c:layout>
        <c:manualLayout>
          <c:layoutTarget val="inner"/>
          <c:xMode val="edge"/>
          <c:yMode val="edge"/>
          <c:x val="0.460238937304991"/>
          <c:y val="0.100880357916005"/>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Pt>
            <c:idx val="22"/>
            <c:invertIfNegative val="0"/>
            <c:bubble3D val="0"/>
            <c:spPr>
              <a:solidFill>
                <a:schemeClr val="accent5">
                  <a:lumMod val="80000"/>
                </a:schemeClr>
              </a:solidFill>
              <a:ln>
                <a:noFill/>
              </a:ln>
              <a:effectLst/>
            </c:spPr>
          </c:dPt>
          <c:dPt>
            <c:idx val="23"/>
            <c:invertIfNegative val="0"/>
            <c:bubble3D val="0"/>
            <c:spPr>
              <a:solidFill>
                <a:schemeClr val="accent6">
                  <a:lumMod val="80000"/>
                </a:schemeClr>
              </a:solidFill>
              <a:ln>
                <a:noFill/>
              </a:ln>
              <a:effectLst/>
            </c:spPr>
          </c:dPt>
          <c:dPt>
            <c:idx val="24"/>
            <c:invertIfNegative val="0"/>
            <c:bubble3D val="0"/>
            <c:spPr>
              <a:solidFill>
                <a:schemeClr val="accent1">
                  <a:lumMod val="60000"/>
                  <a:lumOff val="40000"/>
                </a:schemeClr>
              </a:solidFill>
              <a:ln>
                <a:noFill/>
              </a:ln>
              <a:effectLst/>
            </c:spPr>
          </c:dPt>
          <c:dPt>
            <c:idx val="25"/>
            <c:invertIfNegative val="0"/>
            <c:bubble3D val="0"/>
            <c:spPr>
              <a:solidFill>
                <a:schemeClr val="accent2">
                  <a:lumMod val="60000"/>
                  <a:lumOff val="40000"/>
                </a:schemeClr>
              </a:solidFill>
              <a:ln>
                <a:noFill/>
              </a:ln>
              <a:effectLst/>
            </c:spPr>
          </c:dPt>
          <c:dPt>
            <c:idx val="26"/>
            <c:invertIfNegative val="0"/>
            <c:bubble3D val="0"/>
            <c:spPr>
              <a:solidFill>
                <a:schemeClr val="accent3">
                  <a:lumMod val="60000"/>
                  <a:lumOff val="40000"/>
                </a:schemeClr>
              </a:solidFill>
              <a:ln>
                <a:noFill/>
              </a:ln>
              <a:effectLst/>
            </c:spPr>
          </c:dPt>
          <c:dPt>
            <c:idx val="27"/>
            <c:invertIfNegative val="0"/>
            <c:bubble3D val="0"/>
            <c:spPr>
              <a:solidFill>
                <a:schemeClr val="accent4">
                  <a:lumMod val="60000"/>
                  <a:lumOff val="40000"/>
                </a:schemeClr>
              </a:solidFill>
              <a:ln>
                <a:noFill/>
              </a:ln>
              <a:effectLst/>
            </c:spPr>
          </c:dPt>
          <c:dPt>
            <c:idx val="28"/>
            <c:invertIfNegative val="0"/>
            <c:bubble3D val="0"/>
            <c:spPr>
              <a:solidFill>
                <a:schemeClr val="accent5">
                  <a:lumMod val="60000"/>
                  <a:lumOff val="40000"/>
                </a:schemeClr>
              </a:solidFill>
              <a:ln>
                <a:noFill/>
              </a:ln>
              <a:effectLst/>
            </c:spPr>
          </c:dPt>
          <c:dPt>
            <c:idx val="29"/>
            <c:invertIfNegative val="0"/>
            <c:bubble3D val="0"/>
            <c:spPr>
              <a:solidFill>
                <a:schemeClr val="accent6">
                  <a:lumMod val="60000"/>
                  <a:lumOff val="40000"/>
                </a:schemeClr>
              </a:solidFill>
              <a:ln>
                <a:noFill/>
              </a:ln>
              <a:effectLst/>
            </c:spPr>
          </c:dPt>
          <c:dPt>
            <c:idx val="30"/>
            <c:invertIfNegative val="0"/>
            <c:bubble3D val="0"/>
            <c:spPr>
              <a:solidFill>
                <a:schemeClr val="accent1">
                  <a:lumMod val="50000"/>
                </a:schemeClr>
              </a:solidFill>
              <a:ln>
                <a:noFill/>
              </a:ln>
              <a:effectLst/>
            </c:spPr>
          </c:dPt>
          <c:dPt>
            <c:idx val="31"/>
            <c:invertIfNegative val="0"/>
            <c:bubble3D val="0"/>
            <c:spPr>
              <a:solidFill>
                <a:schemeClr val="accent2">
                  <a:lumMod val="50000"/>
                </a:schemeClr>
              </a:solidFill>
              <a:ln>
                <a:noFill/>
              </a:ln>
              <a:effectLst/>
            </c:spPr>
          </c:dPt>
          <c:dLbls>
            <c:delete val="1"/>
          </c:dLbls>
          <c:cat>
            <c:strRef>
              <c:f>'[观点数据图表模板-全球20230927 实习同学(1).xlsx]企业排序'!$F$2:$F$33</c:f>
              <c:strCache>
                <c:ptCount val="32"/>
                <c:pt idx="0">
                  <c:v>Goepel Electronic</c:v>
                </c:pt>
                <c:pt idx="1">
                  <c:v>Mesnac</c:v>
                </c:pt>
                <c:pt idx="2">
                  <c:v>Scienscope</c:v>
                </c:pt>
                <c:pt idx="3">
                  <c:v>Waygate Technologie</c:v>
                </c:pt>
                <c:pt idx="4">
                  <c:v>SEC</c:v>
                </c:pt>
                <c:pt idx="5">
                  <c:v>Unicomp Technology</c:v>
                </c:pt>
                <c:pt idx="6">
                  <c:v>Meyer</c:v>
                </c:pt>
                <c:pt idx="7">
                  <c:v>Dylog</c:v>
                </c:pt>
                <c:pt idx="8">
                  <c:v>HEITEC PTS</c:v>
                </c:pt>
                <c:pt idx="9">
                  <c:v>Thermo Fisher Scientific</c:v>
                </c:pt>
                <c:pt idx="10">
                  <c:v>Shimadzu</c:v>
                </c:pt>
                <c:pt idx="11">
                  <c:v>Minebea Intec</c:v>
                </c:pt>
                <c:pt idx="12">
                  <c:v>VisiConsult</c:v>
                </c:pt>
                <c:pt idx="13">
                  <c:v>DanDong Huari</c:v>
                </c:pt>
                <c:pt idx="14">
                  <c:v>Loma</c:v>
                </c:pt>
                <c:pt idx="15">
                  <c:v>Aolong Group</c:v>
                </c:pt>
                <c:pt idx="16">
                  <c:v>Sesotec GmbH</c:v>
                </c:pt>
                <c:pt idx="17">
                  <c:v>Test Research Inc. (TRI)</c:v>
                </c:pt>
                <c:pt idx="18">
                  <c:v>VJ Technologies</c:v>
                </c:pt>
                <c:pt idx="19">
                  <c:v>Saki Corporation</c:v>
                </c:pt>
                <c:pt idx="20">
                  <c:v>Mettler-Toledo International</c:v>
                </c:pt>
                <c:pt idx="21">
                  <c:v>Ishida</c:v>
                </c:pt>
                <c:pt idx="22">
                  <c:v>Omron</c:v>
                </c:pt>
                <c:pt idx="23">
                  <c:v>ViTrox Corporation</c:v>
                </c:pt>
                <c:pt idx="24">
                  <c:v>Viscom</c:v>
                </c:pt>
                <c:pt idx="25">
                  <c:v>North Star Imaging</c:v>
                </c:pt>
                <c:pt idx="26">
                  <c:v>GE Measurement &amp; Control</c:v>
                </c:pt>
                <c:pt idx="27">
                  <c:v>Anritsu Industrial Solutions</c:v>
                </c:pt>
                <c:pt idx="28">
                  <c:v>ZEISS</c:v>
                </c:pt>
                <c:pt idx="29">
                  <c:v>Nordson</c:v>
                </c:pt>
                <c:pt idx="30">
                  <c:v>Nikon Metrology</c:v>
                </c:pt>
                <c:pt idx="31">
                  <c:v>YXLON International</c:v>
                </c:pt>
              </c:strCache>
            </c:strRef>
          </c:cat>
          <c:val>
            <c:numRef>
              <c:f>'[观点数据图表模板-全球20230927 实习同学(1).xlsx]企业排序'!$G$2:$G$33</c:f>
              <c:numCache>
                <c:formatCode>General</c:formatCode>
                <c:ptCount val="32"/>
                <c:pt idx="0">
                  <c:v>2.34</c:v>
                </c:pt>
                <c:pt idx="1">
                  <c:v>2.81</c:v>
                </c:pt>
                <c:pt idx="2">
                  <c:v>3.95</c:v>
                </c:pt>
                <c:pt idx="3">
                  <c:v>4.68</c:v>
                </c:pt>
                <c:pt idx="4">
                  <c:v>4.94</c:v>
                </c:pt>
                <c:pt idx="5">
                  <c:v>5.87</c:v>
                </c:pt>
                <c:pt idx="6">
                  <c:v>6.41</c:v>
                </c:pt>
                <c:pt idx="7">
                  <c:v>6.71</c:v>
                </c:pt>
                <c:pt idx="8">
                  <c:v>7.36</c:v>
                </c:pt>
                <c:pt idx="9">
                  <c:v>7.46</c:v>
                </c:pt>
                <c:pt idx="10">
                  <c:v>7.83</c:v>
                </c:pt>
                <c:pt idx="11">
                  <c:v>7.99</c:v>
                </c:pt>
                <c:pt idx="12">
                  <c:v>9.75</c:v>
                </c:pt>
                <c:pt idx="13">
                  <c:v>9.77</c:v>
                </c:pt>
                <c:pt idx="14">
                  <c:v>10.03</c:v>
                </c:pt>
                <c:pt idx="15">
                  <c:v>11.36</c:v>
                </c:pt>
                <c:pt idx="16">
                  <c:v>11.55</c:v>
                </c:pt>
                <c:pt idx="17">
                  <c:v>12.71</c:v>
                </c:pt>
                <c:pt idx="18">
                  <c:v>16.14</c:v>
                </c:pt>
                <c:pt idx="19">
                  <c:v>17.61</c:v>
                </c:pt>
                <c:pt idx="20">
                  <c:v>23.08</c:v>
                </c:pt>
                <c:pt idx="21">
                  <c:v>26.64</c:v>
                </c:pt>
                <c:pt idx="22">
                  <c:v>27.94</c:v>
                </c:pt>
                <c:pt idx="23">
                  <c:v>28.69</c:v>
                </c:pt>
                <c:pt idx="24">
                  <c:v>29.05</c:v>
                </c:pt>
                <c:pt idx="25">
                  <c:v>30.55</c:v>
                </c:pt>
                <c:pt idx="26">
                  <c:v>50.01</c:v>
                </c:pt>
                <c:pt idx="27">
                  <c:v>51.84</c:v>
                </c:pt>
                <c:pt idx="28">
                  <c:v>78.82</c:v>
                </c:pt>
                <c:pt idx="29">
                  <c:v>83.61</c:v>
                </c:pt>
                <c:pt idx="30">
                  <c:v>88.94</c:v>
                </c:pt>
                <c:pt idx="31">
                  <c:v>107.59</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0.573206585652685</cdr:x>
      <cdr:y>0.10172306414781</cdr:y>
    </cdr:from>
    <cdr:to>
      <cdr:x>0.796452371618973</cdr:x>
      <cdr:y>0.332156944156114</cdr:y>
    </cdr:to>
    <cdr:grpSp>
      <cdr:nvGrpSpPr>
        <cdr:cNvPr id="2" name="组合 1"/>
        <cdr:cNvGrpSpPr/>
      </cdr:nvGrpSpPr>
      <cdr:grpSpPr xmlns:a="http://schemas.openxmlformats.org/drawingml/2006/main">
        <a:xfrm rot="0">
          <a:off x="3547409" y="298683"/>
          <a:ext cx="1381603" cy="676609"/>
          <a:chOff x="2888681" y="1418644"/>
          <a:chExt cx="766197" cy="628058"/>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888681" y="1418644"/>
            <a:ext cx="766197" cy="628058"/>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617595">
            <a:off x="3096880" y="1575941"/>
            <a:ext cx="319865" cy="319121"/>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5.2%</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0.283614268914151</cdr:x>
      <cdr:y>0.215071621341084</cdr:y>
    </cdr:from>
    <cdr:to>
      <cdr:x>0.475107800862407</cdr:x>
      <cdr:y>0.460867760016608</cdr:y>
    </cdr:to>
    <cdr:grpSp>
      <cdr:nvGrpSpPr>
        <cdr:cNvPr id="5" name="组合 4"/>
        <cdr:cNvGrpSpPr/>
      </cdr:nvGrpSpPr>
      <cdr:grpSpPr xmlns:a="http://schemas.openxmlformats.org/drawingml/2006/main">
        <a:xfrm rot="1723322">
          <a:off x="1755206" y="631502"/>
          <a:ext cx="1185098" cy="721716"/>
          <a:chOff x="3951047" y="2310839"/>
          <a:chExt cx="470959" cy="3215138"/>
        </a:xfrm>
      </cdr:grpSpPr>
      <cdr:cxnSp>
        <cdr:nvCxnSpPr>
          <cdr:cNvPr id="6" name="直接箭头连接符 5"/>
          <cdr:cNvCxnSpPr/>
        </cdr:nvCxnSpPr>
        <cdr:spPr xmlns:a="http://schemas.openxmlformats.org/drawingml/2006/main">
          <a:xfrm xmlns:a="http://schemas.openxmlformats.org/drawingml/2006/main" flipV="1">
            <a:off x="3951047" y="2310839"/>
            <a:ext cx="470959" cy="3215138"/>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799997">
            <a:off x="4048206" y="3440119"/>
            <a:ext cx="238854" cy="1186668"/>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0.6%</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131</Words>
  <Characters>751</Characters>
  <Lines>6</Lines>
  <Paragraphs>1</Paragraphs>
  <TotalTime>1</TotalTime>
  <ScaleCrop>false</ScaleCrop>
  <LinksUpToDate>false</LinksUpToDate>
  <CharactersWithSpaces>881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2023-10-13T05:36:54Z</dcterms:modified>
  <cp:revision>787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5BD49F159678494CB82C75739A1CA2C7_13</vt:lpwstr>
  </property>
</Properties>
</file>