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style1.xml" ContentType="application/vnd.ms-office.chartstyle+xml"/>
  <Override PartName="/word/charts/style2.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cs="Calibri"/>
        </w:rPr>
      </w:pPr>
      <w:bookmarkStart w:id="0" w:name="_Hlk23501351"/>
      <w:bookmarkStart w:id="1" w:name="OLE_LINK40"/>
      <w:bookmarkStart w:id="2" w:name="_Toc438987549"/>
      <w:bookmarkStart w:id="3" w:name="OLE_LINK13"/>
      <w:bookmarkStart w:id="4" w:name="_Toc415142861"/>
      <w:bookmarkStart w:id="5" w:name="OLE_LINK39"/>
      <w:bookmarkStart w:id="6" w:name="_Toc517262917"/>
      <w:bookmarkStart w:id="7" w:name="_Toc418070112"/>
      <w:bookmarkStart w:id="8" w:name="_Toc415143481"/>
      <w:bookmarkStart w:id="9" w:name="_Toc453597319"/>
      <w:bookmarkStart w:id="10" w:name="_Toc481801204"/>
      <w:bookmarkStart w:id="11" w:name="OLE_LINK24"/>
      <w:bookmarkStart w:id="12" w:name="OLE_LINK15"/>
      <w:bookmarkStart w:id="13" w:name="_Toc415818939"/>
      <w:r>
        <w:rPr>
          <w:rFonts w:cs="Calibri"/>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8863965</wp:posOffset>
                </wp:positionV>
                <wp:extent cx="5048250" cy="327660"/>
                <wp:effectExtent l="0" t="0" r="0" b="0"/>
                <wp:wrapNone/>
                <wp:docPr id="1438" name="Text Box 1438"/>
                <wp:cNvGraphicFramePr/>
                <a:graphic xmlns:a="http://schemas.openxmlformats.org/drawingml/2006/main">
                  <a:graphicData uri="http://schemas.microsoft.com/office/word/2010/wordprocessingShape">
                    <wps:wsp>
                      <wps:cNvSpPr txBox="1"/>
                      <wps:spPr>
                        <a:xfrm>
                          <a:off x="0" y="0"/>
                          <a:ext cx="5048250" cy="32780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jc w:val="center"/>
                              <w:rPr>
                                <w:b/>
                                <w:color w:val="FFFFFF" w:themeColor="background1"/>
                                <w:szCs w:val="22"/>
                                <w14:textFill>
                                  <w14:solidFill>
                                    <w14:schemeClr w14:val="bg1"/>
                                  </w14:solidFill>
                                </w14:textFill>
                              </w:rPr>
                            </w:pPr>
                            <w:r>
                              <w:rPr>
                                <w:b/>
                                <w:color w:val="FFFFFF" w:themeColor="background1"/>
                                <w:szCs w:val="22"/>
                                <w14:textFill>
                                  <w14:solidFill>
                                    <w14:schemeClr w14:val="bg1"/>
                                  </w14:solidFill>
                                </w14:textFill>
                              </w:rPr>
                              <w:t>www.qyresearch.com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438" o:spid="_x0000_s1026" o:spt="202" type="#_x0000_t202" style="position:absolute;left:0pt;margin-top:697.95pt;height:25.8pt;width:397.5pt;mso-position-horizontal:center;mso-position-horizontal-relative:margin;z-index:251659264;mso-width-relative:page;mso-height-relative:page;" filled="f" stroked="f" coordsize="21600,21600" o:gfxdata="UEsDBAoAAAAAAIdO4kAAAAAAAAAAAAAAAAAEAAAAZHJzL1BLAwQUAAAACACHTuJAeRDn/toAAAAK&#10;AQAADwAAAGRycy9kb3ducmV2LnhtbE2PzU7DMBCE70i8g7VI3KjT0tAmxKlQpAoJ0UNLL9w2sZtE&#10;2OsQuz/w9CwnOO43o9mZYnVxVpzMGHpPCqaTBIShxuueWgX7t/XdEkSISBqtJ6PgywRYlddXBeba&#10;n2lrTrvYCg6hkKOCLsYhlzI0nXEYJn4wxNrBjw4jn2Mr9YhnDndWzpLkQTrsiT90OJiqM83H7ugU&#10;vFTrDW7rmVt+2+r59fA0fO7fU6Vub6bJI4hoLvHPDL/1uTqU3Kn2R9JBWAU8JDK9z9IMBOuLLGVU&#10;M5rPFynIspD/J5Q/UEsDBBQAAAAIAIdO4kDB8CZdMgIAAHkEAAAOAAAAZHJzL2Uyb0RvYy54bWyt&#10;VE1v2zAMvQ/YfxB0X52kST+COEXWIsOAYi3QDjsrshwbkERNUmpnv35PctJ23Q497KLwK4/kI+nF&#10;VW80e1I+tGRLPj4ZcaaspKq125J/f1x/uuAsRGErocmqku9V4FfLjx8WnZurCTWkK+UZQGyYd67k&#10;TYxuXhRBNsqIcEJOWThr8kZEqH5bVF50QDe6mIxGZ0VHvnKepAoB1pvByQ+I/j2AVNetVDckd0bZ&#10;OKB6pUVES6FpXeDLXG1dKxnv6jqoyHTJ0WnML5JA3qS3WC7EfOuFa1p5KEG8p4Q3PRnRWiR9hroR&#10;UbCdb/+CMq30FKiOJ5JMMTSSGUEX49Ebbh4a4VTuBVQH90x6+H+w8tvTvWdthU2YnmLyVhjM/FH1&#10;kX2mnmUjOOpcmCP0wSE49vAgPnGX7AHG1Hpfe5N+0RSDHwzvnxlOeBLG2Wh6MZnBJeE7nZxfjKYJ&#10;pnj5t/MhflFkWBJK7jHBTKx4ug1xCD2GpGSW1q3WsIu5tqwr+dkp4P/wAFzbZFF5Hw4wL5UnKfab&#10;/tDOhqo9uvQ07Epwct2ilFsR4r3wWA5Uj/OJd3hqTUhJB4mzhvyvf9lTPGYGL2cdlq3k4edOeMWZ&#10;/moxzcvxdArYmJXp7HwCxb/2bF577M5cE/Z5jEN1MospPuqjWHsyP3Blq5QVLmElcpc8HsXrOJwA&#10;rlSq1SoHYR+diLf2wckEPVC42kWq28x7omngBvNKCjYyT+5wPWnlX+s56uWLsf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eRDn/toAAAAKAQAADwAAAAAAAAABACAAAAAiAAAAZHJzL2Rvd25yZXYu&#10;eG1sUEsBAhQAFAAAAAgAh07iQMHwJl0yAgAAeQQAAA4AAAAAAAAAAQAgAAAAKQEAAGRycy9lMm9E&#10;b2MueG1sUEsFBgAAAAAGAAYAWQEAAM0FAAAAAA==&#10;">
                <v:fill on="f" focussize="0,0"/>
                <v:stroke on="f" weight="0.5pt"/>
                <v:imagedata o:title=""/>
                <o:lock v:ext="edit" aspectratio="f"/>
                <v:textbox>
                  <w:txbxContent>
                    <w:p>
                      <w:pPr>
                        <w:jc w:val="center"/>
                        <w:rPr>
                          <w:b/>
                          <w:color w:val="FFFFFF" w:themeColor="background1"/>
                          <w:szCs w:val="22"/>
                          <w14:textFill>
                            <w14:solidFill>
                              <w14:schemeClr w14:val="bg1"/>
                            </w14:solidFill>
                          </w14:textFill>
                        </w:rPr>
                      </w:pPr>
                      <w:r>
                        <w:rPr>
                          <w:b/>
                          <w:color w:val="FFFFFF" w:themeColor="background1"/>
                          <w:szCs w:val="22"/>
                          <w14:textFill>
                            <w14:solidFill>
                              <w14:schemeClr w14:val="bg1"/>
                            </w14:solidFill>
                          </w14:textFill>
                        </w:rPr>
                        <w:t>www.qyresearch.com</w:t>
                      </w:r>
                    </w:p>
                  </w:txbxContent>
                </v:textbox>
              </v:shape>
            </w:pict>
          </mc:Fallback>
        </mc:AlternateContent>
      </w:r>
      <w:r>
        <w:rPr>
          <w:rFonts w:cs="Calibri"/>
        </w:rPr>
        <mc:AlternateContent>
          <mc:Choice Requires="wps">
            <w:drawing>
              <wp:anchor distT="0" distB="0" distL="114300" distR="114300" simplePos="0" relativeHeight="251660288" behindDoc="0" locked="0" layoutInCell="1" allowOverlap="1">
                <wp:simplePos x="0" y="0"/>
                <wp:positionH relativeFrom="column">
                  <wp:posOffset>-283845</wp:posOffset>
                </wp:positionH>
                <wp:positionV relativeFrom="paragraph">
                  <wp:posOffset>2054860</wp:posOffset>
                </wp:positionV>
                <wp:extent cx="6337300" cy="1769110"/>
                <wp:effectExtent l="0" t="0" r="0" b="2540"/>
                <wp:wrapNone/>
                <wp:docPr id="1346" name="Text Box 479"/>
                <wp:cNvGraphicFramePr/>
                <a:graphic xmlns:a="http://schemas.openxmlformats.org/drawingml/2006/main">
                  <a:graphicData uri="http://schemas.microsoft.com/office/word/2010/wordprocessingShape">
                    <wps:wsp>
                      <wps:cNvSpPr txBox="1">
                        <a:spLocks noChangeArrowheads="1"/>
                      </wps:cNvSpPr>
                      <wps:spPr bwMode="auto">
                        <a:xfrm>
                          <a:off x="0" y="0"/>
                          <a:ext cx="6337005" cy="1769423"/>
                        </a:xfrm>
                        <a:prstGeom prst="rect">
                          <a:avLst/>
                        </a:prstGeom>
                        <a:noFill/>
                        <a:ln w="9525">
                          <a:noFill/>
                          <a:miter lim="800000"/>
                        </a:ln>
                        <a:effectLst/>
                      </wps:spPr>
                      <wps:txbx>
                        <w:txbxContent>
                          <w:p>
                            <w:pPr>
                              <w:widowControl/>
                              <w:topLinePunct w:val="0"/>
                              <w:jc w:val="left"/>
                              <w:rPr>
                                <w:rFonts w:hint="eastAsia" w:ascii="Century Gothic" w:hAnsi="Century Gothic" w:cs="Arial"/>
                                <w:b/>
                                <w:color w:val="002060"/>
                                <w:spacing w:val="-30"/>
                                <w:kern w:val="0"/>
                                <w:sz w:val="56"/>
                                <w:szCs w:val="56"/>
                                <w:lang w:eastAsia="en-US"/>
                              </w:rPr>
                            </w:pPr>
                            <w:r>
                              <w:rPr>
                                <w:rFonts w:hint="eastAsia" w:ascii="Century Gothic" w:hAnsi="Century Gothic" w:cs="Arial"/>
                                <w:b/>
                                <w:color w:val="002060"/>
                                <w:spacing w:val="-30"/>
                                <w:kern w:val="0"/>
                                <w:sz w:val="56"/>
                                <w:szCs w:val="56"/>
                                <w:lang w:eastAsia="en-US"/>
                              </w:rPr>
                              <w:t>酮咯酸氨丁三醇注射液</w:t>
                            </w:r>
                          </w:p>
                          <w:p>
                            <w:pPr>
                              <w:widowControl/>
                              <w:topLinePunct w:val="0"/>
                              <w:jc w:val="left"/>
                              <w:rPr>
                                <w:rFonts w:ascii="Century Gothic" w:hAnsi="Century Gothic" w:cs="Arial"/>
                                <w:b/>
                                <w:color w:val="002060"/>
                                <w:spacing w:val="-30"/>
                                <w:kern w:val="0"/>
                                <w:sz w:val="52"/>
                                <w:szCs w:val="52"/>
                                <w:lang w:eastAsia="en-US"/>
                              </w:rPr>
                            </w:pPr>
                            <w:r>
                              <w:rPr>
                                <w:rFonts w:hint="eastAsia" w:ascii="Century Gothic" w:hAnsi="Century Gothic" w:cs="Arial"/>
                                <w:b/>
                                <w:color w:val="002060"/>
                                <w:spacing w:val="-30"/>
                                <w:kern w:val="0"/>
                                <w:sz w:val="52"/>
                                <w:szCs w:val="52"/>
                              </w:rPr>
                              <w:t>全球市场研究报告</w:t>
                            </w:r>
                            <w:r>
                              <w:rPr>
                                <w:rFonts w:ascii="Century Gothic" w:hAnsi="Century Gothic" w:cs="Arial"/>
                                <w:b/>
                                <w:color w:val="002060"/>
                                <w:spacing w:val="-30"/>
                                <w:kern w:val="0"/>
                                <w:sz w:val="52"/>
                                <w:szCs w:val="52"/>
                                <w:lang w:eastAsia="en-US"/>
                              </w:rPr>
                              <w:t>2023-2029</w:t>
                            </w:r>
                          </w:p>
                        </w:txbxContent>
                      </wps:txbx>
                      <wps:bodyPr rot="0" vert="horz" wrap="square" lIns="91440" tIns="45720" rIns="91440" bIns="45720" anchor="t" anchorCtr="0">
                        <a:noAutofit/>
                      </wps:bodyPr>
                    </wps:wsp>
                  </a:graphicData>
                </a:graphic>
              </wp:anchor>
            </w:drawing>
          </mc:Choice>
          <mc:Fallback>
            <w:pict>
              <v:shape id="Text Box 479" o:spid="_x0000_s1026" o:spt="202" type="#_x0000_t202" style="position:absolute;left:0pt;margin-left:-22.35pt;margin-top:161.8pt;height:139.3pt;width:499pt;z-index:251660288;mso-width-relative:page;mso-height-relative:page;" filled="f" stroked="f" coordsize="21600,21600" o:gfxdata="UEsDBAoAAAAAAIdO4kAAAAAAAAAAAAAAAAAEAAAAZHJzL1BLAwQUAAAACACHTuJALvbpbNkAAAAL&#10;AQAADwAAAGRycy9kb3ducmV2LnhtbE2Py07DMBBF90j8gzVI7Fq7SRpoyKQLEFsqykNi58bTJCIe&#10;R7HbhL+vWcFydI/uPVNuZ9uLM42+c4ywWioQxLUzHTcI72/Pi3sQPmg2undMCD/kYVtdX5W6MG7i&#10;VzrvQyNiCftCI7QhDIWUvm7Jar90A3HMjm60OsRzbKQZ9RTLbS8TpXJpdcdxodUDPbZUf+9PFuHj&#10;5fj1mald82TXw+RmJdluJOLtzUo9gAg0hz8YfvWjOlTR6eBObLzoERZZdhdRhDRJcxCR2KzTFMQB&#10;IVdJArIq5f8fqgtQSwMEFAAAAAgAh07iQBDMBnIeAgAAPAQAAA4AAABkcnMvZTJvRG9jLnhtbK1T&#10;TY/bIBC9V+p/QNwbO4mTbKw4q+1GW1Xafki7/QEE4xgVGAokdvrrO2BvGm0ve6gPFjDDm3lvHpvb&#10;XityEs5LMBWdTnJKhOFQS3Oo6I/nhw83lPjATM0UGFHRs/D0dvv+3aazpZhBC6oWjiCI8WVnK9qG&#10;YMss87wVmvkJWGEw2IDTLODWHbLasQ7Rtcpmeb7MOnC1dcCF93i6G4J0RHRvAYSmkVzsgB+1MGFA&#10;dUKxgJR8K62n29Rt0wgevjWNF4GoiiLTkP5YBNf7+M+2G1YeHLOt5GML7C0tvOKkmTRY9AK1Y4GR&#10;o5P/QGnJHXhowoSDzgYiSRFkMc1fafPUMisSF5Ta24vo/v/B8q+n747IGp0wL5aUGKZx5s+iD+Qj&#10;9KRYraNEnfUlZj5ZzA09BjA90fX2EfhPTwzct8wcxJ1z0LWC1djiNN7Mrq4OOD6C7LsvUGMhdgyQ&#10;gPrG6agfKkIQHcdzvownNsPxcDmfr/J8QQnH2HS1XBezearBypfr1vnwSYAmcVFRh/NP8Oz06ENs&#10;h5UvKbGagQepVPKAMqSr6HoxW6QLVxEtAxpeSV3Rmzx+Y01lIoRIJhvRI9nIb2Aa+n0/ireH+oy0&#10;HQwGxOeHixbcb0o6NF9F/a8jc4IS9dmgdOtpUUS3pk2xWM1w464j++sIMxyhKhooGZb3ITl8YHiH&#10;EjcykY/tDZ2Mg0FTJU3GBxBde71PWX8f/fY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LvbpbNkA&#10;AAALAQAADwAAAAAAAAABACAAAAAiAAAAZHJzL2Rvd25yZXYueG1sUEsBAhQAFAAAAAgAh07iQBDM&#10;BnIeAgAAPAQAAA4AAAAAAAAAAQAgAAAAKAEAAGRycy9lMm9Eb2MueG1sUEsFBgAAAAAGAAYAWQEA&#10;ALgFAAAAAA==&#10;">
                <v:fill on="f" focussize="0,0"/>
                <v:stroke on="f" miterlimit="8" joinstyle="miter"/>
                <v:imagedata o:title=""/>
                <o:lock v:ext="edit" aspectratio="f"/>
                <v:textbox>
                  <w:txbxContent>
                    <w:p>
                      <w:pPr>
                        <w:widowControl/>
                        <w:topLinePunct w:val="0"/>
                        <w:jc w:val="left"/>
                        <w:rPr>
                          <w:rFonts w:hint="eastAsia" w:ascii="Century Gothic" w:hAnsi="Century Gothic" w:cs="Arial"/>
                          <w:b/>
                          <w:color w:val="002060"/>
                          <w:spacing w:val="-30"/>
                          <w:kern w:val="0"/>
                          <w:sz w:val="56"/>
                          <w:szCs w:val="56"/>
                          <w:lang w:eastAsia="en-US"/>
                        </w:rPr>
                      </w:pPr>
                      <w:r>
                        <w:rPr>
                          <w:rFonts w:hint="eastAsia" w:ascii="Century Gothic" w:hAnsi="Century Gothic" w:cs="Arial"/>
                          <w:b/>
                          <w:color w:val="002060"/>
                          <w:spacing w:val="-30"/>
                          <w:kern w:val="0"/>
                          <w:sz w:val="56"/>
                          <w:szCs w:val="56"/>
                          <w:lang w:eastAsia="en-US"/>
                        </w:rPr>
                        <w:t>酮咯酸氨丁三醇注射液</w:t>
                      </w:r>
                    </w:p>
                    <w:p>
                      <w:pPr>
                        <w:widowControl/>
                        <w:topLinePunct w:val="0"/>
                        <w:jc w:val="left"/>
                        <w:rPr>
                          <w:rFonts w:ascii="Century Gothic" w:hAnsi="Century Gothic" w:cs="Arial"/>
                          <w:b/>
                          <w:color w:val="002060"/>
                          <w:spacing w:val="-30"/>
                          <w:kern w:val="0"/>
                          <w:sz w:val="52"/>
                          <w:szCs w:val="52"/>
                          <w:lang w:eastAsia="en-US"/>
                        </w:rPr>
                      </w:pPr>
                      <w:r>
                        <w:rPr>
                          <w:rFonts w:hint="eastAsia" w:ascii="Century Gothic" w:hAnsi="Century Gothic" w:cs="Arial"/>
                          <w:b/>
                          <w:color w:val="002060"/>
                          <w:spacing w:val="-30"/>
                          <w:kern w:val="0"/>
                          <w:sz w:val="52"/>
                          <w:szCs w:val="52"/>
                        </w:rPr>
                        <w:t>全球市场研究报告</w:t>
                      </w:r>
                      <w:r>
                        <w:rPr>
                          <w:rFonts w:ascii="Century Gothic" w:hAnsi="Century Gothic" w:cs="Arial"/>
                          <w:b/>
                          <w:color w:val="002060"/>
                          <w:spacing w:val="-30"/>
                          <w:kern w:val="0"/>
                          <w:sz w:val="52"/>
                          <w:szCs w:val="52"/>
                          <w:lang w:eastAsia="en-US"/>
                        </w:rPr>
                        <w:t>2023-2029</w:t>
                      </w:r>
                    </w:p>
                  </w:txbxContent>
                </v:textbox>
              </v:shape>
            </w:pict>
          </mc:Fallback>
        </mc:AlternateContent>
      </w:r>
      <w:r>
        <w:rPr>
          <w:rFonts w:cs="Calibri"/>
        </w:rPr>
        <mc:AlternateContent>
          <mc:Choice Requires="wps">
            <w:drawing>
              <wp:anchor distT="0" distB="0" distL="114300" distR="114300" simplePos="0" relativeHeight="251661312" behindDoc="0" locked="0" layoutInCell="1" allowOverlap="1">
                <wp:simplePos x="0" y="0"/>
                <wp:positionH relativeFrom="column">
                  <wp:posOffset>-153035</wp:posOffset>
                </wp:positionH>
                <wp:positionV relativeFrom="paragraph">
                  <wp:posOffset>3918585</wp:posOffset>
                </wp:positionV>
                <wp:extent cx="4971415" cy="0"/>
                <wp:effectExtent l="0" t="19050" r="19685" b="19050"/>
                <wp:wrapNone/>
                <wp:docPr id="1348" name="Straight Connector 38"/>
                <wp:cNvGraphicFramePr/>
                <a:graphic xmlns:a="http://schemas.openxmlformats.org/drawingml/2006/main">
                  <a:graphicData uri="http://schemas.microsoft.com/office/word/2010/wordprocessingShape">
                    <wps:wsp>
                      <wps:cNvCnPr/>
                      <wps:spPr>
                        <a:xfrm>
                          <a:off x="0" y="0"/>
                          <a:ext cx="4971415" cy="0"/>
                        </a:xfrm>
                        <a:prstGeom prst="line">
                          <a:avLst/>
                        </a:prstGeom>
                        <a:ln w="28575">
                          <a:solidFill>
                            <a:schemeClr val="accent4"/>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8" o:spid="_x0000_s1026" o:spt="20" style="position:absolute;left:0pt;margin-left:-12.05pt;margin-top:308.55pt;height:0pt;width:391.45pt;z-index:251661312;mso-width-relative:page;mso-height-relative:page;" filled="f" stroked="t" coordsize="21600,21600" o:gfxdata="UEsDBAoAAAAAAIdO4kAAAAAAAAAAAAAAAAAEAAAAZHJzL1BLAwQUAAAACACHTuJA1p+w2NkAAAAL&#10;AQAADwAAAGRycy9kb3ducmV2LnhtbE2PT0vDQBDF74LfYRmht3azofZPmk0PQkFoFawiPW6zYxKa&#10;nY3ZTVu/vSMIepuZ93jze/n66lpxxj40njSoSQICqfS2oUrD2+tmvAARoiFrWk+o4QsDrIvbm9xk&#10;1l/oBc/7WAkOoZAZDXWMXSZlKGt0Jkx8h8Tah++dibz2lbS9uXC4a2WaJDPpTEP8oTYdPtRYnvaD&#10;0zA03ePnk/M7lW7Ukg7Py9P71mo9ulPJCkTEa/wzww8+o0PBTEc/kA2i1TBOp4qtGmZqzgM75vcL&#10;LnP8vcgil/87FN9QSwMEFAAAAAgAh07iQEugHhzbAQAAuQMAAA4AAABkcnMvZTJvRG9jLnhtbK1T&#10;y27bMBC8F+g/ELzXkh2ncQXLOdhwL0VrIO0H0BQpEeALu4xl/32XlOO06SWHXiRylzu7MxyuH8/O&#10;spMCNMG3fD6rOVNehs74vuW/fu4/rTjDJHwnbPCq5ReF/HHz8cN6jI1ahCHYTgEjEI/NGFs+pBSb&#10;qkI5KCdwFqLylNQBnEi0hb7qQIyE7my1qOvP1RigixCkQqTobkryKyK8BzBobaTaBfnslE8TKigr&#10;ElHCwUTkmzKt1kqmH1qjSsy2nJim8qUmtD7mb7VZi6YHEQcjryOI94zwhpMTxlPTG9ROJMGewfwD&#10;5YyEgEGnmQyumogURYjFvH6jzdMgoipcSGqMN9Hx/8HK76cDMNORE+6WdPNeOLrzpwTC9ENi2+A9&#10;aRiA3a2yVmPEhkq2/gDXHcYDZOJnDS7/iRI7F30vN33VOTFJweWXh/lyfs+ZfMlVr4URMH1VwbG8&#10;aLk1PlMXjTh9w0TN6OjLkRz2YW+sLddnPRtbvljdP2RoQZ7U5AVauki80PecCduT2WWCAonBmi6X&#10;ZyCE/ri1wE6CLLLfb+u6uILa/XUs994JHKZzJTWZx5lE78Ea1/IV1d6qraeZs16TQnl1DN2lCFfi&#10;dKOF1dV92TJ/7kv164vb/A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Wn7DY2QAAAAsBAAAPAAAA&#10;AAAAAAEAIAAAACIAAABkcnMvZG93bnJldi54bWxQSwECFAAUAAAACACHTuJAS6AeHNsBAAC5AwAA&#10;DgAAAAAAAAABACAAAAAoAQAAZHJzL2Uyb0RvYy54bWxQSwUGAAAAAAYABgBZAQAAdQUAAAAA&#10;">
                <v:fill on="f" focussize="0,0"/>
                <v:stroke weight="2.25pt" color="#FFC000 [3207]" miterlimit="8" joinstyle="miter"/>
                <v:imagedata o:title=""/>
                <o:lock v:ext="edit" aspectratio="f"/>
              </v:line>
            </w:pict>
          </mc:Fallback>
        </mc:AlternateContent>
      </w:r>
      <w:r>
        <w:rPr>
          <w:rFonts w:cs="Calibri"/>
        </w:rPr>
        <w:drawing>
          <wp:anchor distT="0" distB="0" distL="114300" distR="114300" simplePos="0" relativeHeight="251662336" behindDoc="1" locked="0" layoutInCell="1" allowOverlap="1">
            <wp:simplePos x="0" y="0"/>
            <wp:positionH relativeFrom="page">
              <wp:posOffset>-62230</wp:posOffset>
            </wp:positionH>
            <wp:positionV relativeFrom="page">
              <wp:posOffset>-37465</wp:posOffset>
            </wp:positionV>
            <wp:extent cx="7665085" cy="10734675"/>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7665079" cy="10734675"/>
                    </a:xfrm>
                    <a:prstGeom prst="rect">
                      <a:avLst/>
                    </a:prstGeom>
                  </pic:spPr>
                </pic:pic>
              </a:graphicData>
            </a:graphic>
          </wp:anchor>
        </w:drawing>
      </w:r>
    </w:p>
    <w:p>
      <w:pPr>
        <w:sectPr>
          <w:headerReference r:id="rId5" w:type="first"/>
          <w:headerReference r:id="rId4" w:type="even"/>
          <w:pgSz w:w="11906" w:h="16838"/>
          <w:pgMar w:top="1418" w:right="1134" w:bottom="851" w:left="1134" w:header="709" w:footer="567" w:gutter="0"/>
          <w:pgNumType w:start="0"/>
          <w:cols w:space="708" w:num="1"/>
          <w:docGrid w:linePitch="360" w:charSpace="0"/>
        </w:sectPr>
      </w:pPr>
    </w:p>
    <w:bookmarkEnd w:id="0"/>
    <w:p>
      <w:pPr>
        <w:pStyle w:val="167"/>
      </w:pPr>
      <w:r>
        <w:rPr>
          <w:rFonts w:hint="eastAsia"/>
          <w:lang w:eastAsia="zh-CN"/>
        </w:rPr>
        <w:t>酮咯酸氨丁三醇注射液全球市场总体规模</w:t>
      </w:r>
    </w:p>
    <w:p>
      <w:r>
        <w:drawing>
          <wp:inline distT="0" distB="0" distL="0" distR="0">
            <wp:extent cx="2466975" cy="1845945"/>
            <wp:effectExtent l="0" t="0" r="9525" b="1905"/>
            <wp:docPr id="1445" name="图片 1445" descr="C:\Users\Administrator\Desktop\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5" name="图片 1445" descr="C:\Users\Administrator\Desktop\images.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2466975" cy="1845945"/>
                    </a:xfrm>
                    <a:prstGeom prst="rect">
                      <a:avLst/>
                    </a:prstGeom>
                    <a:noFill/>
                    <a:ln>
                      <a:noFill/>
                    </a:ln>
                  </pic:spPr>
                </pic:pic>
              </a:graphicData>
            </a:graphic>
          </wp:inline>
        </w:drawing>
      </w:r>
    </w:p>
    <w:p>
      <w:pPr>
        <w:pStyle w:val="145"/>
        <w:rPr>
          <w:rFonts w:hint="eastAsia"/>
          <w:lang w:eastAsia="zh-CN"/>
        </w:rPr>
      </w:pPr>
      <w:r>
        <w:rPr>
          <w:rFonts w:hint="eastAsia"/>
          <w:lang w:eastAsia="zh-CN"/>
        </w:rPr>
        <w:t>据QYResearch调研团队最新报告“全球酮咯酸氨丁三醇注射液市场报告2023-2029”显示，预计2029年全球酮咯酸氨丁三醇注射液市场规模将达到11.7亿美元，未来几年年复合增长率CAGR为3.0%。</w:t>
      </w:r>
    </w:p>
    <w:p>
      <w:pPr>
        <w:pStyle w:val="148"/>
      </w:pPr>
      <w:r>
        <w:rPr>
          <w:rFonts w:hint="eastAsia"/>
          <w:lang w:eastAsia="zh-CN"/>
        </w:rPr>
        <w:t>酮咯酸氨丁三醇注射液全球市场总体规模，预计2</w:t>
      </w:r>
      <w:r>
        <w:rPr>
          <w:lang w:eastAsia="zh-CN"/>
        </w:rPr>
        <w:t>029</w:t>
      </w:r>
      <w:r>
        <w:rPr>
          <w:rFonts w:hint="eastAsia"/>
          <w:lang w:eastAsia="zh-CN"/>
        </w:rPr>
        <w:t>年达到</w:t>
      </w:r>
      <w:r>
        <w:rPr>
          <w:rFonts w:hint="eastAsia"/>
          <w:lang w:val="en-US" w:eastAsia="zh-CN"/>
        </w:rPr>
        <w:t>11.7</w:t>
      </w:r>
      <w:r>
        <w:rPr>
          <w:rFonts w:hint="eastAsia"/>
          <w:lang w:eastAsia="zh-CN"/>
        </w:rPr>
        <w:t>亿美元</w:t>
      </w:r>
    </w:p>
    <w:p>
      <w:pPr>
        <w:pStyle w:val="143"/>
      </w:pPr>
      <w:r>
        <w:drawing>
          <wp:inline distT="0" distB="0" distL="114300" distR="114300">
            <wp:extent cx="6188710" cy="2936240"/>
            <wp:effectExtent l="0" t="3810" r="2540" b="12700"/>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r>
        <w:rPr>
          <w:rFonts w:hint="eastAsia"/>
          <w:lang w:eastAsia="zh-CN"/>
        </w:rPr>
        <w:t>如上图表/数据，摘自QYResearch最新报告“</w:t>
      </w:r>
      <w:r>
        <w:rPr>
          <w:rFonts w:hint="eastAsia"/>
        </w:rPr>
        <w:t>全球</w:t>
      </w:r>
      <w:r>
        <w:rPr>
          <w:rFonts w:hint="eastAsia"/>
          <w:lang w:eastAsia="zh-CN"/>
        </w:rPr>
        <w:t>酮咯酸氨丁三醇注射液</w:t>
      </w:r>
      <w:r>
        <w:rPr>
          <w:rFonts w:hint="eastAsia"/>
        </w:rPr>
        <w:t>市场研究报告2023-2029</w:t>
      </w:r>
      <w:r>
        <w:t>.</w:t>
      </w:r>
    </w:p>
    <w:p>
      <w:pPr>
        <w:pStyle w:val="145"/>
      </w:pPr>
    </w:p>
    <w:p>
      <w:pPr>
        <w:pStyle w:val="148"/>
        <w:rPr>
          <w:lang w:eastAsia="zh-CN"/>
        </w:rPr>
      </w:pPr>
      <w:r>
        <w:rPr>
          <w:rFonts w:hint="eastAsia"/>
          <w:lang w:eastAsia="zh-CN"/>
        </w:rPr>
        <w:t>全球酮咯酸氨丁三醇注射液市场前</w:t>
      </w:r>
      <w:r>
        <w:rPr>
          <w:rFonts w:hint="eastAsia"/>
          <w:lang w:val="en-US" w:eastAsia="zh-CN"/>
        </w:rPr>
        <w:t>14</w:t>
      </w:r>
      <w:r>
        <w:rPr>
          <w:rFonts w:hint="eastAsia"/>
          <w:lang w:eastAsia="zh-CN"/>
        </w:rPr>
        <w:t>强生产商排名及市场占有率（持续更新）</w:t>
      </w:r>
    </w:p>
    <w:p>
      <w:pPr>
        <w:pStyle w:val="143"/>
        <w:ind w:firstLine="1440" w:firstLineChars="900"/>
      </w:pPr>
      <w:r>
        <w:drawing>
          <wp:inline distT="0" distB="0" distL="114300" distR="114300">
            <wp:extent cx="4572000" cy="4599940"/>
            <wp:effectExtent l="0" t="0" r="0" b="1016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43"/>
        <w:ind w:firstLine="1440" w:firstLineChars="900"/>
      </w:pPr>
      <w:r>
        <w:rPr>
          <w:rFonts w:hint="eastAsia"/>
          <w:lang w:eastAsia="zh-CN"/>
        </w:rPr>
        <w:t>如上图表/数据，摘自QYResearch最新报告“</w:t>
      </w:r>
      <w:r>
        <w:rPr>
          <w:rFonts w:hint="eastAsia"/>
        </w:rPr>
        <w:t>全球</w:t>
      </w:r>
      <w:r>
        <w:rPr>
          <w:rFonts w:hint="eastAsia"/>
          <w:lang w:eastAsia="zh-CN"/>
        </w:rPr>
        <w:t>酮咯酸氨丁三醇注射液</w:t>
      </w:r>
      <w:r>
        <w:rPr>
          <w:rFonts w:hint="eastAsia"/>
        </w:rPr>
        <w:t>市场研究报告2023-2029</w:t>
      </w:r>
      <w:r>
        <w:t>.</w:t>
      </w:r>
    </w:p>
    <w:p>
      <w:pPr>
        <w:pStyle w:val="145"/>
        <w:rPr>
          <w:rFonts w:hint="eastAsia"/>
          <w:lang w:eastAsia="zh-CN"/>
        </w:rPr>
      </w:pPr>
      <w:r>
        <w:rPr>
          <w:rFonts w:hint="eastAsia"/>
          <w:lang w:eastAsia="zh-CN"/>
        </w:rPr>
        <w:t>全球范围内酮咯酸氨丁三醇注射液生产商主要包括Pfizer、Fresenius Kabi、Fosun Pharma (Gland Pharma)、Sagent Pharmaceuticals、Hikma、Lunan Pharma、Alvogen、Athenex、Chengdu Brilliant Pharmaceuticals、Sichuan Medcalo等。2022年，全球前五大厂商占有大约35.0%的市场份额。</w:t>
      </w:r>
    </w:p>
    <w:p>
      <w:pPr>
        <w:pStyle w:val="145"/>
        <w:rPr>
          <w:rFonts w:hint="eastAsia"/>
          <w:lang w:eastAsia="zh-CN"/>
        </w:rPr>
      </w:pPr>
    </w:p>
    <w:p>
      <w:pPr>
        <w:pStyle w:val="145"/>
      </w:pPr>
      <w:r>
        <w:br w:type="page"/>
      </w:r>
    </w:p>
    <w:bookmarkEnd w:id="1"/>
    <w:bookmarkEnd w:id="2"/>
    <w:bookmarkEnd w:id="3"/>
    <w:bookmarkEnd w:id="4"/>
    <w:bookmarkEnd w:id="5"/>
    <w:bookmarkEnd w:id="6"/>
    <w:bookmarkEnd w:id="7"/>
    <w:bookmarkEnd w:id="8"/>
    <w:bookmarkEnd w:id="9"/>
    <w:bookmarkEnd w:id="10"/>
    <w:bookmarkEnd w:id="11"/>
    <w:bookmarkEnd w:id="12"/>
    <w:bookmarkEnd w:id="13"/>
    <w:p>
      <w:pPr>
        <w:pStyle w:val="167"/>
        <w:rPr>
          <w:lang w:eastAsia="zh-CN"/>
        </w:rPr>
      </w:pPr>
      <w:r>
        <w:rPr>
          <w:rFonts w:hint="eastAsia"/>
          <w:lang w:eastAsia="zh-CN"/>
        </w:rPr>
        <w:t>2023年全球酮咯酸氨丁三醇注射液行业总体规模、主要企业国内外市场占有率及排名</w:t>
      </w:r>
    </w:p>
    <w:p>
      <w:pPr>
        <w:pStyle w:val="145"/>
        <w:rPr>
          <w:rFonts w:hint="eastAsia"/>
          <w:lang w:eastAsia="zh-CN"/>
        </w:rPr>
      </w:pPr>
      <w:r>
        <w:rPr>
          <w:rFonts w:hint="eastAsia"/>
          <w:lang w:eastAsia="zh-CN"/>
        </w:rPr>
        <w:t>根据研究团队调研统计，2022年全球酮咯酸氨丁三醇注射液市场销售额达到了64亿元，预计2029年将达到77亿元，年复合增长率（CAGR）为2.7%（2023-2029）。中国市场在过去几年变化较快，2022年市场规模为 亿元，约占全球的 %，预计2029年将达到 亿元，届时全球占比将达到 %。</w:t>
      </w:r>
    </w:p>
    <w:p>
      <w:pPr>
        <w:pStyle w:val="145"/>
        <w:rPr>
          <w:rFonts w:hint="eastAsia"/>
          <w:lang w:eastAsia="zh-CN"/>
        </w:rPr>
      </w:pPr>
      <w:r>
        <w:rPr>
          <w:rFonts w:hint="eastAsia"/>
          <w:lang w:eastAsia="zh-CN"/>
        </w:rPr>
        <w:t>全球酮咯酸氨丁三醇注射液（Ketorolac Injection）核心厂商包括Pfizer、Fresenius Kabi、上海复星医药等，前两大厂商约占有全球20%的份额。北美是全球最大的市场，占有大约40%的市场份额，之后是亚太和欧洲，分别占比27%和20%。</w:t>
      </w:r>
    </w:p>
    <w:p>
      <w:pPr>
        <w:pStyle w:val="145"/>
        <w:rPr>
          <w:rFonts w:hint="eastAsia"/>
          <w:lang w:eastAsia="zh-CN"/>
        </w:rPr>
      </w:pPr>
      <w:r>
        <w:rPr>
          <w:rFonts w:hint="eastAsia"/>
          <w:lang w:eastAsia="zh-CN"/>
        </w:rPr>
        <w:t>本文侧重研究全球酮咯酸氨丁三醇注射液总体规模及主要厂商占有率和排名，主要统计指标包括酮咯酸氨丁三醇注射液产能、销量、销售收入、价格、市场份额及排名等，企业数据主要侧重近三年行业内主要厂商的市场销售情况。地区层面，主要分析过去五年和未来五年行业内主要生产地区和主要消费地区的规模及趋势。</w:t>
      </w:r>
    </w:p>
    <w:p>
      <w:pPr>
        <w:pStyle w:val="145"/>
        <w:rPr>
          <w:rFonts w:hint="eastAsia"/>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rPr>
          <w:rFonts w:hint="eastAsia"/>
          <w:lang w:eastAsia="zh-CN"/>
        </w:rPr>
      </w:pPr>
      <w:r>
        <w:rPr>
          <w:rFonts w:hint="eastAsia"/>
          <w:lang w:eastAsia="zh-CN"/>
        </w:rPr>
        <w:t>本文主要企业名单如下，也可根据客户要求增加目标企业：</w:t>
      </w:r>
    </w:p>
    <w:p>
      <w:pPr>
        <w:pStyle w:val="145"/>
        <w:rPr>
          <w:rFonts w:hint="eastAsia"/>
          <w:lang w:eastAsia="zh-CN"/>
        </w:rPr>
      </w:pPr>
      <w:r>
        <w:rPr>
          <w:rFonts w:hint="eastAsia"/>
          <w:lang w:eastAsia="zh-CN"/>
        </w:rPr>
        <w:t xml:space="preserve">    Pfizer</w:t>
      </w:r>
    </w:p>
    <w:p>
      <w:pPr>
        <w:pStyle w:val="145"/>
        <w:rPr>
          <w:rFonts w:hint="eastAsia"/>
          <w:lang w:eastAsia="zh-CN"/>
        </w:rPr>
      </w:pPr>
      <w:r>
        <w:rPr>
          <w:rFonts w:hint="eastAsia"/>
          <w:lang w:eastAsia="zh-CN"/>
        </w:rPr>
        <w:t xml:space="preserve">    Fresenius Kabi</w:t>
      </w:r>
    </w:p>
    <w:p>
      <w:pPr>
        <w:pStyle w:val="145"/>
        <w:rPr>
          <w:rFonts w:hint="eastAsia"/>
          <w:lang w:eastAsia="zh-CN"/>
        </w:rPr>
      </w:pPr>
      <w:r>
        <w:rPr>
          <w:rFonts w:hint="eastAsia"/>
          <w:lang w:eastAsia="zh-CN"/>
        </w:rPr>
        <w:t xml:space="preserve">    上海复星医药</w:t>
      </w:r>
    </w:p>
    <w:p>
      <w:pPr>
        <w:pStyle w:val="145"/>
        <w:rPr>
          <w:rFonts w:hint="eastAsia"/>
          <w:lang w:eastAsia="zh-CN"/>
        </w:rPr>
      </w:pPr>
      <w:r>
        <w:rPr>
          <w:rFonts w:hint="eastAsia"/>
          <w:lang w:eastAsia="zh-CN"/>
        </w:rPr>
        <w:t xml:space="preserve">    Sagent Pharmaceuticals</w:t>
      </w:r>
    </w:p>
    <w:p>
      <w:pPr>
        <w:pStyle w:val="145"/>
        <w:rPr>
          <w:rFonts w:hint="eastAsia"/>
          <w:lang w:eastAsia="zh-CN"/>
        </w:rPr>
      </w:pPr>
      <w:r>
        <w:rPr>
          <w:rFonts w:hint="eastAsia"/>
          <w:lang w:eastAsia="zh-CN"/>
        </w:rPr>
        <w:t xml:space="preserve">    Hikma</w:t>
      </w:r>
    </w:p>
    <w:p>
      <w:pPr>
        <w:pStyle w:val="145"/>
        <w:rPr>
          <w:rFonts w:hint="eastAsia"/>
          <w:lang w:eastAsia="zh-CN"/>
        </w:rPr>
      </w:pPr>
      <w:r>
        <w:rPr>
          <w:rFonts w:hint="eastAsia"/>
          <w:lang w:eastAsia="zh-CN"/>
        </w:rPr>
        <w:t xml:space="preserve">    山东新时代药业</w:t>
      </w:r>
    </w:p>
    <w:p>
      <w:pPr>
        <w:pStyle w:val="145"/>
        <w:rPr>
          <w:rFonts w:hint="eastAsia"/>
          <w:lang w:eastAsia="zh-CN"/>
        </w:rPr>
      </w:pPr>
      <w:r>
        <w:rPr>
          <w:rFonts w:hint="eastAsia"/>
          <w:lang w:eastAsia="zh-CN"/>
        </w:rPr>
        <w:t xml:space="preserve">    Alvogen</w:t>
      </w:r>
    </w:p>
    <w:p>
      <w:pPr>
        <w:pStyle w:val="145"/>
        <w:rPr>
          <w:rFonts w:hint="eastAsia"/>
          <w:lang w:eastAsia="zh-CN"/>
        </w:rPr>
      </w:pPr>
      <w:r>
        <w:rPr>
          <w:rFonts w:hint="eastAsia"/>
          <w:lang w:eastAsia="zh-CN"/>
        </w:rPr>
        <w:t xml:space="preserve">    成都倍特</w:t>
      </w:r>
    </w:p>
    <w:p>
      <w:pPr>
        <w:pStyle w:val="145"/>
        <w:rPr>
          <w:rFonts w:hint="eastAsia"/>
          <w:lang w:eastAsia="zh-CN"/>
        </w:rPr>
      </w:pPr>
      <w:r>
        <w:rPr>
          <w:rFonts w:hint="eastAsia"/>
          <w:lang w:eastAsia="zh-CN"/>
        </w:rPr>
        <w:t xml:space="preserve">    Athenex</w:t>
      </w:r>
    </w:p>
    <w:p>
      <w:pPr>
        <w:pStyle w:val="145"/>
        <w:rPr>
          <w:rFonts w:hint="eastAsia"/>
          <w:lang w:eastAsia="zh-CN"/>
        </w:rPr>
      </w:pPr>
      <w:r>
        <w:rPr>
          <w:rFonts w:hint="eastAsia"/>
          <w:lang w:eastAsia="zh-CN"/>
        </w:rPr>
        <w:t xml:space="preserve">    四川美大康佳乐药业</w:t>
      </w:r>
    </w:p>
    <w:p>
      <w:pPr>
        <w:pStyle w:val="145"/>
        <w:rPr>
          <w:rFonts w:hint="eastAsia"/>
          <w:lang w:eastAsia="zh-CN"/>
        </w:rPr>
      </w:pPr>
      <w:r>
        <w:rPr>
          <w:rFonts w:hint="eastAsia"/>
          <w:lang w:eastAsia="zh-CN"/>
        </w:rPr>
        <w:t xml:space="preserve">    Julphar Bangladesh Ltd.</w:t>
      </w:r>
    </w:p>
    <w:p>
      <w:pPr>
        <w:pStyle w:val="145"/>
        <w:rPr>
          <w:rFonts w:hint="eastAsia"/>
          <w:lang w:eastAsia="zh-CN"/>
        </w:rPr>
      </w:pPr>
      <w:r>
        <w:rPr>
          <w:rFonts w:hint="eastAsia"/>
          <w:lang w:eastAsia="zh-CN"/>
        </w:rPr>
        <w:t xml:space="preserve">    永信药品工业</w:t>
      </w:r>
    </w:p>
    <w:p>
      <w:pPr>
        <w:pStyle w:val="145"/>
        <w:rPr>
          <w:rFonts w:hint="eastAsia"/>
          <w:lang w:eastAsia="zh-CN"/>
        </w:rPr>
      </w:pPr>
      <w:r>
        <w:rPr>
          <w:rFonts w:hint="eastAsia"/>
          <w:lang w:eastAsia="zh-CN"/>
        </w:rPr>
        <w:t xml:space="preserve">    天津红日药业</w:t>
      </w:r>
    </w:p>
    <w:p>
      <w:pPr>
        <w:pStyle w:val="145"/>
        <w:rPr>
          <w:rFonts w:hint="eastAsia"/>
          <w:lang w:eastAsia="zh-CN"/>
        </w:rPr>
      </w:pPr>
      <w:r>
        <w:rPr>
          <w:rFonts w:hint="eastAsia"/>
          <w:lang w:eastAsia="zh-CN"/>
        </w:rPr>
        <w:t xml:space="preserve">    ZISKA Pharmaceuticals</w:t>
      </w:r>
    </w:p>
    <w:p>
      <w:pPr>
        <w:pStyle w:val="145"/>
        <w:rPr>
          <w:rFonts w:hint="eastAsia"/>
          <w:lang w:eastAsia="zh-CN"/>
        </w:rPr>
      </w:pPr>
      <w:r>
        <w:rPr>
          <w:rFonts w:hint="eastAsia"/>
          <w:lang w:eastAsia="zh-CN"/>
        </w:rPr>
        <w:t>按照不同浓度，包括如下几个类别：</w:t>
      </w:r>
    </w:p>
    <w:p>
      <w:pPr>
        <w:pStyle w:val="145"/>
        <w:rPr>
          <w:rFonts w:hint="eastAsia"/>
          <w:lang w:eastAsia="zh-CN"/>
        </w:rPr>
      </w:pPr>
      <w:r>
        <w:rPr>
          <w:rFonts w:hint="eastAsia"/>
          <w:lang w:eastAsia="zh-CN"/>
        </w:rPr>
        <w:t xml:space="preserve">    15mg/ml</w:t>
      </w:r>
    </w:p>
    <w:p>
      <w:pPr>
        <w:pStyle w:val="145"/>
        <w:rPr>
          <w:rFonts w:hint="eastAsia"/>
          <w:lang w:eastAsia="zh-CN"/>
        </w:rPr>
      </w:pPr>
      <w:r>
        <w:rPr>
          <w:rFonts w:hint="eastAsia"/>
          <w:lang w:eastAsia="zh-CN"/>
        </w:rPr>
        <w:t xml:space="preserve">    30mg/ml</w:t>
      </w:r>
    </w:p>
    <w:p>
      <w:pPr>
        <w:pStyle w:val="145"/>
        <w:rPr>
          <w:rFonts w:hint="eastAsia"/>
          <w:lang w:eastAsia="zh-CN"/>
        </w:rPr>
      </w:pPr>
      <w:r>
        <w:rPr>
          <w:rFonts w:hint="eastAsia"/>
          <w:lang w:eastAsia="zh-CN"/>
        </w:rPr>
        <w:t>按照不同应用，主要包括如下几个方面：</w:t>
      </w:r>
    </w:p>
    <w:p>
      <w:pPr>
        <w:pStyle w:val="145"/>
        <w:rPr>
          <w:rFonts w:hint="eastAsia"/>
          <w:lang w:eastAsia="zh-CN"/>
        </w:rPr>
      </w:pPr>
      <w:r>
        <w:rPr>
          <w:rFonts w:hint="eastAsia"/>
          <w:lang w:eastAsia="zh-CN"/>
        </w:rPr>
        <w:t xml:space="preserve">    医院</w:t>
      </w:r>
    </w:p>
    <w:p>
      <w:pPr>
        <w:pStyle w:val="145"/>
        <w:rPr>
          <w:rFonts w:hint="eastAsia"/>
          <w:lang w:eastAsia="zh-CN"/>
        </w:rPr>
      </w:pPr>
      <w:r>
        <w:rPr>
          <w:rFonts w:hint="eastAsia"/>
          <w:lang w:eastAsia="zh-CN"/>
        </w:rPr>
        <w:t xml:space="preserve">    诊所</w:t>
      </w:r>
    </w:p>
    <w:p>
      <w:pPr>
        <w:pStyle w:val="145"/>
        <w:rPr>
          <w:rFonts w:hint="eastAsia"/>
          <w:lang w:eastAsia="zh-CN"/>
        </w:rPr>
      </w:pPr>
      <w:r>
        <w:rPr>
          <w:rFonts w:hint="eastAsia"/>
          <w:lang w:eastAsia="zh-CN"/>
        </w:rPr>
        <w:t xml:space="preserve">    其他</w:t>
      </w:r>
    </w:p>
    <w:p>
      <w:pPr>
        <w:pStyle w:val="145"/>
        <w:rPr>
          <w:rFonts w:hint="eastAsia"/>
          <w:lang w:eastAsia="zh-CN"/>
        </w:rPr>
      </w:pPr>
      <w:r>
        <w:rPr>
          <w:rFonts w:hint="eastAsia"/>
          <w:lang w:eastAsia="zh-CN"/>
        </w:rPr>
        <w:t>重点关注如下几个地区</w:t>
      </w:r>
    </w:p>
    <w:p>
      <w:pPr>
        <w:pStyle w:val="145"/>
        <w:rPr>
          <w:rFonts w:hint="eastAsia"/>
          <w:lang w:eastAsia="zh-CN"/>
        </w:rPr>
      </w:pPr>
      <w:r>
        <w:rPr>
          <w:rFonts w:hint="eastAsia"/>
          <w:lang w:eastAsia="zh-CN"/>
        </w:rPr>
        <w:t xml:space="preserve">    北美</w:t>
      </w:r>
    </w:p>
    <w:p>
      <w:pPr>
        <w:pStyle w:val="145"/>
        <w:rPr>
          <w:rFonts w:hint="eastAsia"/>
          <w:lang w:eastAsia="zh-CN"/>
        </w:rPr>
      </w:pPr>
      <w:r>
        <w:rPr>
          <w:rFonts w:hint="eastAsia"/>
          <w:lang w:eastAsia="zh-CN"/>
        </w:rPr>
        <w:t xml:space="preserve">    欧洲</w:t>
      </w:r>
    </w:p>
    <w:p>
      <w:pPr>
        <w:pStyle w:val="145"/>
        <w:rPr>
          <w:rFonts w:hint="eastAsia"/>
          <w:lang w:eastAsia="zh-CN"/>
        </w:rPr>
      </w:pPr>
      <w:r>
        <w:rPr>
          <w:rFonts w:hint="eastAsia"/>
          <w:lang w:eastAsia="zh-CN"/>
        </w:rPr>
        <w:t xml:space="preserve">    中国</w:t>
      </w:r>
    </w:p>
    <w:p>
      <w:pPr>
        <w:pStyle w:val="145"/>
        <w:rPr>
          <w:rFonts w:hint="eastAsia"/>
          <w:lang w:eastAsia="zh-CN"/>
        </w:rPr>
      </w:pPr>
      <w:r>
        <w:rPr>
          <w:rFonts w:hint="eastAsia"/>
          <w:lang w:eastAsia="zh-CN"/>
        </w:rPr>
        <w:t xml:space="preserve">    日本</w:t>
      </w:r>
    </w:p>
    <w:p>
      <w:pPr>
        <w:pStyle w:val="145"/>
        <w:rPr>
          <w:rFonts w:hint="eastAsia"/>
          <w:lang w:eastAsia="zh-CN"/>
        </w:rPr>
      </w:pPr>
      <w:r>
        <w:rPr>
          <w:rFonts w:hint="eastAsia"/>
          <w:lang w:eastAsia="zh-CN"/>
        </w:rPr>
        <w:t xml:space="preserve">    东南亚</w:t>
      </w:r>
    </w:p>
    <w:p>
      <w:pPr>
        <w:pStyle w:val="145"/>
        <w:rPr>
          <w:rFonts w:hint="eastAsia"/>
          <w:lang w:eastAsia="zh-CN"/>
        </w:rPr>
      </w:pPr>
      <w:r>
        <w:rPr>
          <w:rFonts w:hint="eastAsia"/>
          <w:lang w:eastAsia="zh-CN"/>
        </w:rPr>
        <w:t>本文正文共10章，各章节主要内容如下：</w:t>
      </w:r>
    </w:p>
    <w:p>
      <w:pPr>
        <w:pStyle w:val="145"/>
        <w:rPr>
          <w:rFonts w:hint="eastAsia"/>
          <w:lang w:eastAsia="zh-CN"/>
        </w:rPr>
      </w:pPr>
      <w:r>
        <w:rPr>
          <w:rFonts w:hint="eastAsia"/>
          <w:lang w:eastAsia="zh-CN"/>
        </w:rPr>
        <w:t>第1章：报告统计范围、所属行业、产品细分及主要的下游市场，行业现状及进入壁垒等</w:t>
      </w:r>
    </w:p>
    <w:p>
      <w:pPr>
        <w:pStyle w:val="145"/>
        <w:rPr>
          <w:rFonts w:hint="eastAsia"/>
          <w:lang w:eastAsia="zh-CN"/>
        </w:rPr>
      </w:pPr>
      <w:r>
        <w:rPr>
          <w:rFonts w:hint="eastAsia"/>
          <w:lang w:eastAsia="zh-CN"/>
        </w:rPr>
        <w:t>第2章：国内外主要企业市场占有率及排名</w:t>
      </w:r>
    </w:p>
    <w:p>
      <w:pPr>
        <w:pStyle w:val="145"/>
        <w:rPr>
          <w:rFonts w:hint="eastAsia"/>
          <w:lang w:eastAsia="zh-CN"/>
        </w:rPr>
      </w:pPr>
      <w:r>
        <w:rPr>
          <w:rFonts w:hint="eastAsia"/>
          <w:lang w:eastAsia="zh-CN"/>
        </w:rPr>
        <w:t>第3章：全球总体规模（产能、产量、销量、需求量、销售收入等数据，2018-2029年）</w:t>
      </w:r>
    </w:p>
    <w:p>
      <w:pPr>
        <w:pStyle w:val="145"/>
        <w:rPr>
          <w:rFonts w:hint="eastAsia"/>
          <w:lang w:eastAsia="zh-CN"/>
        </w:rPr>
      </w:pPr>
      <w:r>
        <w:rPr>
          <w:rFonts w:hint="eastAsia"/>
          <w:lang w:eastAsia="zh-CN"/>
        </w:rPr>
        <w:t>第4章：全球酮咯酸氨丁三醇注射液主要地区分析，包括销量、销售收入等</w:t>
      </w:r>
    </w:p>
    <w:p>
      <w:pPr>
        <w:pStyle w:val="145"/>
        <w:rPr>
          <w:rFonts w:hint="eastAsia"/>
          <w:lang w:eastAsia="zh-CN"/>
        </w:rPr>
      </w:pPr>
      <w:r>
        <w:rPr>
          <w:rFonts w:hint="eastAsia"/>
          <w:lang w:eastAsia="zh-CN"/>
        </w:rPr>
        <w:t>第5章：全球酮咯酸氨丁三醇注射液主要厂商基本情况介绍，包括公司简介、酮咯酸氨丁三醇注射液产品型号、销量、收入、价格及最新动态等</w:t>
      </w:r>
    </w:p>
    <w:p>
      <w:pPr>
        <w:pStyle w:val="145"/>
        <w:rPr>
          <w:rFonts w:hint="eastAsia"/>
          <w:lang w:eastAsia="zh-CN"/>
        </w:rPr>
      </w:pPr>
      <w:r>
        <w:rPr>
          <w:rFonts w:hint="eastAsia"/>
          <w:lang w:eastAsia="zh-CN"/>
        </w:rPr>
        <w:t>第6章：全球不同浓度酮咯酸氨丁三醇注射液销量、收入、价格及份额等</w:t>
      </w:r>
    </w:p>
    <w:p>
      <w:pPr>
        <w:pStyle w:val="145"/>
        <w:rPr>
          <w:rFonts w:hint="eastAsia"/>
          <w:lang w:eastAsia="zh-CN"/>
        </w:rPr>
      </w:pPr>
      <w:r>
        <w:rPr>
          <w:rFonts w:hint="eastAsia"/>
          <w:lang w:eastAsia="zh-CN"/>
        </w:rPr>
        <w:t>第7章：全球不同应用酮咯酸氨丁三醇注射液销量、收入、价格及份额等</w:t>
      </w:r>
    </w:p>
    <w:p>
      <w:pPr>
        <w:pStyle w:val="145"/>
        <w:rPr>
          <w:rFonts w:hint="eastAsia"/>
          <w:lang w:eastAsia="zh-CN"/>
        </w:rPr>
      </w:pPr>
      <w:r>
        <w:rPr>
          <w:rFonts w:hint="eastAsia"/>
          <w:lang w:eastAsia="zh-CN"/>
        </w:rPr>
        <w:t>第8章：行业发展趋势、驱动因素、行业政策等</w:t>
      </w:r>
    </w:p>
    <w:p>
      <w:pPr>
        <w:pStyle w:val="145"/>
        <w:rPr>
          <w:rFonts w:hint="eastAsia"/>
          <w:lang w:eastAsia="zh-CN"/>
        </w:rPr>
      </w:pPr>
      <w:r>
        <w:rPr>
          <w:rFonts w:hint="eastAsia"/>
          <w:lang w:eastAsia="zh-CN"/>
        </w:rPr>
        <w:t>第9章：产业链、上下游分析、生产模式、销售，模式及销售渠道分析等</w:t>
      </w:r>
    </w:p>
    <w:p>
      <w:pPr>
        <w:pStyle w:val="145"/>
        <w:rPr>
          <w:rFonts w:hint="eastAsia"/>
          <w:lang w:eastAsia="zh-CN"/>
        </w:rPr>
      </w:pPr>
      <w:r>
        <w:rPr>
          <w:rFonts w:hint="eastAsia"/>
          <w:lang w:eastAsia="zh-CN"/>
        </w:rPr>
        <w:t>第10章：报告结论</w:t>
      </w:r>
    </w:p>
    <w:p>
      <w:pPr>
        <w:pStyle w:val="145"/>
        <w:rPr>
          <w:rFonts w:hint="eastAsia"/>
          <w:lang w:eastAsia="zh-CN"/>
        </w:rPr>
      </w:pPr>
      <w:bookmarkStart w:id="14" w:name="_GoBack"/>
      <w:bookmarkEnd w:id="14"/>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altName w:val="Segoe Print"/>
    <w:panose1 w:val="02040602050305030304"/>
    <w:charset w:val="00"/>
    <w:family w:val="roman"/>
    <w:pitch w:val="default"/>
    <w:sig w:usb0="00000000" w:usb1="00000000" w:usb2="00000000" w:usb3="00000000" w:csb0="2000009F" w:csb1="DFD7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altName w:val="Yu Gothic UI"/>
    <w:panose1 w:val="020B0502020202020204"/>
    <w:charset w:val="00"/>
    <w:family w:val="swiss"/>
    <w:pitch w:val="default"/>
    <w:sig w:usb0="00000000" w:usb1="00000000" w:usb2="00000000" w:usb3="00000000" w:csb0="2000009F" w:csb1="DFD70000"/>
  </w:font>
  <w:font w:name="Yu Gothic UI">
    <w:panose1 w:val="020B0500000000000000"/>
    <w:charset w:val="80"/>
    <w:family w:val="auto"/>
    <w:pitch w:val="default"/>
    <w:sig w:usb0="E00002FF" w:usb1="2AC7FDFF" w:usb2="00000016" w:usb3="00000000" w:csb0="2002009F"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209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3120;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OTY1YzZkMmU4NWY4NWNmYzc1OWZjYTMyZjg1NjQ0NDY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4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20E"/>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3AF"/>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212"/>
    <w:rsid w:val="00BF55BD"/>
    <w:rsid w:val="00BF5880"/>
    <w:rsid w:val="00BF5B3C"/>
    <w:rsid w:val="00BF5C03"/>
    <w:rsid w:val="00BF5E54"/>
    <w:rsid w:val="00BF5E6B"/>
    <w:rsid w:val="00BF5E7D"/>
    <w:rsid w:val="00BF5EEE"/>
    <w:rsid w:val="00BF6054"/>
    <w:rsid w:val="00BF60BC"/>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4AE5AF5"/>
    <w:rsid w:val="17452651"/>
    <w:rsid w:val="2A1C20EF"/>
    <w:rsid w:val="35052D1F"/>
    <w:rsid w:val="4FC45874"/>
    <w:rsid w:val="57F532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unhideWhenUsed/>
    <w:qFormat/>
    <w:uiPriority w:val="39"/>
    <w:pPr>
      <w:ind w:left="1680" w:leftChars="800"/>
    </w:pPr>
  </w:style>
  <w:style w:type="paragraph" w:styleId="15">
    <w:name w:val="toc 3"/>
    <w:basedOn w:val="1"/>
    <w:next w:val="1"/>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unhideWhenUsed/>
    <w:qFormat/>
    <w:uiPriority w:val="39"/>
  </w:style>
  <w:style w:type="paragraph" w:styleId="28">
    <w:name w:val="table of figures"/>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qFormat/>
    <w:uiPriority w:val="0"/>
    <w:pPr>
      <w:ind w:left="842" w:hanging="422"/>
    </w:pPr>
    <w:rPr>
      <w:rFonts w:cs="宋体"/>
    </w:rPr>
  </w:style>
  <w:style w:type="paragraph" w:customStyle="1" w:styleId="124">
    <w:name w:val="样式 图表目录 + 左侧:  2 字符 悬挂缩进: 2 字符1"/>
    <w:basedOn w:val="28"/>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240" w:after="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imes New Roman" w:hAnsi="Times New Roman" w:eastAsia="宋体"/>
      <w:color w:val="0D0D0D" w:themeColor="text1" w:themeTint="F2"/>
      <w:kern w:val="0"/>
      <w:sz w:val="22"/>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chart" Target="charts/chart2.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chartUserShapes" Target="../drawings/drawing1.xml"/><Relationship Id="rId1" Type="http://schemas.openxmlformats.org/officeDocument/2006/relationships/oleObject" Target="file:///C:\Users\admin\Documents\tencent%20files\2537702024\filerecv\&#35266;&#28857;&#25968;&#25454;&#22270;&#34920;&#27169;&#26495;-&#20840;&#29699;20230927%20&#23454;&#20064;&#21516;&#23398;(1).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Documents\tencent%20files\2537702024\filerecv\&#35266;&#28857;&#25968;&#25454;&#22270;&#34920;&#27169;&#26495;-&#20840;&#29699;20230927%20&#23454;&#20064;&#21516;&#23398;(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100" b="0" i="0" u="none" strike="noStrike" kern="1200" spc="0" baseline="0">
                <a:solidFill>
                  <a:schemeClr val="tx1">
                    <a:lumMod val="65000"/>
                    <a:lumOff val="35000"/>
                  </a:schemeClr>
                </a:solidFill>
                <a:latin typeface="+mn-lt"/>
                <a:ea typeface="+mn-ea"/>
                <a:cs typeface="+mn-cs"/>
              </a:defRPr>
            </a:pPr>
            <a:r>
              <a:rPr altLang="en-US" sz="1100">
                <a:latin typeface="Book Antiqua" panose="02040602050305030304" pitchFamily="1" charset="0"/>
              </a:rPr>
              <a:t>全球市场规模（百万美元）</a:t>
            </a:r>
            <a:endParaRPr lang="en-US" altLang="zh-CN" sz="1100">
              <a:latin typeface="Book Antiqua" panose="02040602050305030304" pitchFamily="1" charset="0"/>
            </a:endParaRPr>
          </a:p>
        </c:rich>
      </c:tx>
      <c:layout>
        <c:manualLayout>
          <c:xMode val="edge"/>
          <c:yMode val="edge"/>
          <c:x val="0.369168953351627"/>
          <c:y val="0.0213826032800498"/>
        </c:manualLayout>
      </c:layout>
      <c:overlay val="0"/>
      <c:spPr>
        <a:noFill/>
        <a:ln>
          <a:noFill/>
        </a:ln>
        <a:effectLst/>
      </c:spPr>
    </c:title>
    <c:autoTitleDeleted val="0"/>
    <c:plotArea>
      <c:layout>
        <c:manualLayout>
          <c:layoutTarget val="inner"/>
          <c:xMode val="edge"/>
          <c:yMode val="edge"/>
          <c:x val="0.0597760258625278"/>
          <c:y val="0.109896740913513"/>
          <c:w val="0.937283950617284"/>
          <c:h val="0.793030392156863"/>
        </c:manualLayout>
      </c:layout>
      <c:barChart>
        <c:barDir val="col"/>
        <c:grouping val="clustered"/>
        <c:varyColors val="0"/>
        <c:ser>
          <c:idx val="0"/>
          <c:order val="0"/>
          <c:tx>
            <c:strRef>
              <c:f>'[观点数据图表模板-全球20230927 实习同学(1).xlsx]全球总体'!$A$22</c:f>
              <c:strCache>
                <c:ptCount val="1"/>
                <c:pt idx="0">
                  <c:v>Global Market Size ($ Mn)</c:v>
                </c:pt>
              </c:strCache>
            </c:strRef>
          </c:tx>
          <c:spPr>
            <a:solidFill>
              <a:srgbClr val="002060"/>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'[观点数据图表模板-全球20230927 实习同学(1).xlsx]全球总体'!$B$21:$D$21</c:f>
              <c:numCache>
                <c:formatCode>General</c:formatCode>
                <c:ptCount val="3"/>
                <c:pt idx="0">
                  <c:v>2018</c:v>
                </c:pt>
                <c:pt idx="1">
                  <c:v>2022</c:v>
                </c:pt>
                <c:pt idx="2">
                  <c:v>2029</c:v>
                </c:pt>
              </c:numCache>
            </c:numRef>
          </c:cat>
          <c:val>
            <c:numRef>
              <c:f>'[观点数据图表模板-全球20230927 实习同学(1).xlsx]全球总体'!$B$22:$D$22</c:f>
              <c:numCache>
                <c:formatCode>#,##0_ </c:formatCode>
                <c:ptCount val="3"/>
                <c:pt idx="0">
                  <c:v>928.8</c:v>
                </c:pt>
                <c:pt idx="1">
                  <c:v>959.86</c:v>
                </c:pt>
                <c:pt idx="2">
                  <c:v>1173.27378889334</c:v>
                </c:pt>
              </c:numCache>
            </c:numRef>
          </c:val>
        </c:ser>
        <c:dLbls>
          <c:showLegendKey val="0"/>
          <c:showVal val="1"/>
          <c:showCatName val="0"/>
          <c:showSerName val="0"/>
          <c:showPercent val="0"/>
          <c:showBubbleSize val="0"/>
        </c:dLbls>
        <c:gapWidth val="219"/>
        <c:overlap val="-27"/>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40624697234778"/>
          <c:y val="0.0346320818516983"/>
        </c:manualLayout>
      </c:layout>
      <c:overlay val="0"/>
      <c:spPr>
        <a:noFill/>
        <a:ln>
          <a:noFill/>
        </a:ln>
        <a:effectLst/>
      </c:spPr>
    </c:title>
    <c:autoTitleDeleted val="0"/>
    <c:plotArea>
      <c:layout>
        <c:manualLayout>
          <c:layoutTarget val="inner"/>
          <c:xMode val="edge"/>
          <c:yMode val="edge"/>
          <c:x val="0.460238937304991"/>
          <c:y val="0.100880357916005"/>
          <c:w val="0.535611111111111"/>
          <c:h val="0.872131620724491"/>
        </c:manualLayout>
      </c:layout>
      <c:barChart>
        <c:barDir val="bar"/>
        <c:grouping val="clustered"/>
        <c:varyColors val="1"/>
        <c:ser>
          <c:idx val="0"/>
          <c:order val="0"/>
          <c:tx>
            <c:strRef>
              <c:f>'[观点数据图表模板-全球20230927 实习同学(1).xlsx]企业排序'!$G$1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Pt>
            <c:idx val="11"/>
            <c:invertIfNegative val="0"/>
            <c:bubble3D val="0"/>
            <c:spPr>
              <a:solidFill>
                <a:schemeClr val="accent6">
                  <a:lumMod val="60000"/>
                </a:schemeClr>
              </a:solidFill>
              <a:ln>
                <a:noFill/>
              </a:ln>
              <a:effectLst/>
            </c:spPr>
          </c:dPt>
          <c:dPt>
            <c:idx val="12"/>
            <c:invertIfNegative val="0"/>
            <c:bubble3D val="0"/>
            <c:spPr>
              <a:solidFill>
                <a:schemeClr val="accent1">
                  <a:lumMod val="80000"/>
                  <a:lumOff val="20000"/>
                </a:schemeClr>
              </a:solidFill>
              <a:ln>
                <a:noFill/>
              </a:ln>
              <a:effectLst/>
            </c:spPr>
          </c:dPt>
          <c:dPt>
            <c:idx val="13"/>
            <c:invertIfNegative val="0"/>
            <c:bubble3D val="0"/>
            <c:spPr>
              <a:solidFill>
                <a:schemeClr val="accent2">
                  <a:lumMod val="80000"/>
                  <a:lumOff val="20000"/>
                </a:schemeClr>
              </a:solidFill>
              <a:ln>
                <a:noFill/>
              </a:ln>
              <a:effectLst/>
            </c:spPr>
          </c:dPt>
          <c:dLbls>
            <c:delete val="1"/>
          </c:dLbls>
          <c:cat>
            <c:strRef>
              <c:f>'[观点数据图表模板-全球20230927 实习同学(1).xlsx]企业排序'!$F$2:$F$15</c:f>
              <c:strCache>
                <c:ptCount val="14"/>
                <c:pt idx="0">
                  <c:v>ZISKA Pharmaceuticals</c:v>
                </c:pt>
                <c:pt idx="1">
                  <c:v>Tianjin Chase Sun Pharmaceutical</c:v>
                </c:pt>
                <c:pt idx="2">
                  <c:v>Yung Shin Pharm</c:v>
                </c:pt>
                <c:pt idx="3">
                  <c:v>Julphar Bangladesh Ltd.</c:v>
                </c:pt>
                <c:pt idx="4">
                  <c:v>Sichuan Medcalo</c:v>
                </c:pt>
                <c:pt idx="5">
                  <c:v>Chengdu Brilliant Pharmaceuticals</c:v>
                </c:pt>
                <c:pt idx="6">
                  <c:v>Athenex</c:v>
                </c:pt>
                <c:pt idx="7">
                  <c:v>Alvogen</c:v>
                </c:pt>
                <c:pt idx="8">
                  <c:v>Lunan Pharma</c:v>
                </c:pt>
                <c:pt idx="9">
                  <c:v>Hikma</c:v>
                </c:pt>
                <c:pt idx="10">
                  <c:v>Sagent Pharmaceuticals</c:v>
                </c:pt>
                <c:pt idx="11">
                  <c:v>Fosun Pharma (Gland Pharma)</c:v>
                </c:pt>
                <c:pt idx="12">
                  <c:v>Fresenius Kabi</c:v>
                </c:pt>
                <c:pt idx="13">
                  <c:v>Pfizer</c:v>
                </c:pt>
              </c:strCache>
            </c:strRef>
          </c:cat>
          <c:val>
            <c:numRef>
              <c:f>'[观点数据图表模板-全球20230927 实习同学(1).xlsx]企业排序'!$G$2:$G$15</c:f>
              <c:numCache>
                <c:formatCode>General</c:formatCode>
                <c:ptCount val="14"/>
                <c:pt idx="0">
                  <c:v>4.12</c:v>
                </c:pt>
                <c:pt idx="1">
                  <c:v>4.73</c:v>
                </c:pt>
                <c:pt idx="2">
                  <c:v>7.22</c:v>
                </c:pt>
                <c:pt idx="3">
                  <c:v>7.52</c:v>
                </c:pt>
                <c:pt idx="4">
                  <c:v>7.81</c:v>
                </c:pt>
                <c:pt idx="5">
                  <c:v>21.06</c:v>
                </c:pt>
                <c:pt idx="6">
                  <c:v>21.27</c:v>
                </c:pt>
                <c:pt idx="7">
                  <c:v>37.6</c:v>
                </c:pt>
                <c:pt idx="8">
                  <c:v>38.68</c:v>
                </c:pt>
                <c:pt idx="9">
                  <c:v>40.86</c:v>
                </c:pt>
                <c:pt idx="10">
                  <c:v>43.76</c:v>
                </c:pt>
                <c:pt idx="11">
                  <c:v>48.72</c:v>
                </c:pt>
                <c:pt idx="12">
                  <c:v>95.41</c:v>
                </c:pt>
                <c:pt idx="13">
                  <c:v>102.04</c:v>
                </c:pt>
              </c:numCache>
            </c:numRef>
          </c:val>
        </c:ser>
        <c:dLbls>
          <c:showLegendKey val="0"/>
          <c:showVal val="0"/>
          <c:showCatName val="0"/>
          <c:showSerName val="0"/>
          <c:showPercent val="0"/>
          <c:showBubbleSize val="0"/>
        </c:dLbls>
        <c:gapWidth val="75"/>
        <c:axId val="1272139183"/>
        <c:axId val="1326546959"/>
      </c:barChart>
      <c:catAx>
        <c:axId val="12721391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b"/>
        <c:majorGridlines>
          <c:spPr>
            <a:ln w="9525" cap="flat" cmpd="sng" algn="ctr">
              <a:noFill/>
              <a:round/>
            </a:ln>
            <a:effectLst/>
          </c:spPr>
        </c:majorGridlines>
        <c:numFmt formatCode="General"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0.576538612308898</cdr:x>
      <cdr:y>0.097778700435956</cdr:y>
    </cdr:from>
    <cdr:to>
      <cdr:x>0.796452371618973</cdr:x>
      <cdr:y>0.226074320116255</cdr:y>
    </cdr:to>
    <cdr:grpSp>
      <cdr:nvGrpSpPr>
        <cdr:cNvPr id="2" name="组合 1"/>
        <cdr:cNvGrpSpPr/>
      </cdr:nvGrpSpPr>
      <cdr:grpSpPr xmlns:a="http://schemas.openxmlformats.org/drawingml/2006/main">
        <a:xfrm rot="0">
          <a:off x="3568030" y="287102"/>
          <a:ext cx="1360982" cy="376707"/>
          <a:chOff x="2888681" y="1418644"/>
          <a:chExt cx="766197" cy="628058"/>
        </a:xfrm>
        <a:solidFill>
          <a:srgbClr val="FFC000"/>
        </a:solidFill>
      </cdr:grpSpPr>
      <cdr:cxnSp>
        <cdr:nvCxnSpPr>
          <cdr:cNvPr id="3" name="直接箭头连接符 2"/>
          <cdr:cNvCxnSpPr/>
        </cdr:nvCxnSpPr>
        <cdr:spPr xmlns:a="http://schemas.openxmlformats.org/drawingml/2006/main">
          <a:xfrm xmlns:a="http://schemas.openxmlformats.org/drawingml/2006/main" flipV="1">
            <a:off x="2888681" y="1418644"/>
            <a:ext cx="766197" cy="628058"/>
          </a:xfrm>
          <a:prstGeom xmlns:a="http://schemas.openxmlformats.org/drawingml/2006/main" prst="straightConnector1">
            <a:avLst/>
          </a:prstGeom>
          <a:grpFill/>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4" name="椭圆 3"/>
          <cdr:cNvSpPr/>
        </cdr:nvSpPr>
        <cdr:spPr xmlns:a="http://schemas.openxmlformats.org/drawingml/2006/main">
          <a:xfrm xmlns:a="http://schemas.openxmlformats.org/drawingml/2006/main" rot="20397595">
            <a:off x="3082279" y="1540597"/>
            <a:ext cx="319590" cy="393298"/>
          </a:xfrm>
          <a:prstGeom xmlns:a="http://schemas.openxmlformats.org/drawingml/2006/main" prst="ellipse">
            <a:avLst/>
          </a:prstGeom>
          <a:grp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sz="800" baseline="0">
                <a:solidFill>
                  <a:sysClr val="windowText" lastClr="000000"/>
                </a:solidFill>
                <a:latin typeface="Book Antiqua" panose="02040602050305030304" pitchFamily="1" charset="0"/>
                <a:ea typeface="宋体" panose="02010600030101010101" charset="-122"/>
              </a:rPr>
              <a:t>3.0%</a:t>
            </a:r>
            <a:endParaRPr lang="zh-CN" sz="800" baseline="0">
              <a:solidFill>
                <a:sysClr val="windowText" lastClr="000000"/>
              </a:solidFill>
              <a:latin typeface="Book Antiqua" panose="02040602050305030304" pitchFamily="1" charset="0"/>
              <a:ea typeface="宋体" panose="02010600030101010101" charset="-122"/>
            </a:endParaRPr>
          </a:p>
        </cdr:txBody>
      </cdr:sp>
    </cdr:grpSp>
  </cdr:relSizeAnchor>
  <cdr:relSizeAnchor xmlns:cdr="http://schemas.openxmlformats.org/drawingml/2006/chartDrawing">
    <cdr:from>
      <cdr:x>0.28469227753822</cdr:x>
      <cdr:y>0.110442183931908</cdr:y>
    </cdr:from>
    <cdr:to>
      <cdr:x>0.473833790670325</cdr:x>
      <cdr:y>0.36495744239153</cdr:y>
    </cdr:to>
    <cdr:grpSp>
      <cdr:nvGrpSpPr>
        <cdr:cNvPr id="5" name="组合 4"/>
        <cdr:cNvGrpSpPr/>
      </cdr:nvGrpSpPr>
      <cdr:grpSpPr xmlns:a="http://schemas.openxmlformats.org/drawingml/2006/main">
        <a:xfrm rot="1723322">
          <a:off x="1761878" y="324285"/>
          <a:ext cx="1170542" cy="747318"/>
          <a:chOff x="3951047" y="2310839"/>
          <a:chExt cx="470959" cy="3215138"/>
        </a:xfrm>
      </cdr:grpSpPr>
      <cdr:cxnSp>
        <cdr:nvCxnSpPr>
          <cdr:cNvPr id="6" name="直接箭头连接符 5"/>
          <cdr:cNvCxnSpPr/>
        </cdr:nvCxnSpPr>
        <cdr:spPr xmlns:a="http://schemas.openxmlformats.org/drawingml/2006/main">
          <a:xfrm xmlns:a="http://schemas.openxmlformats.org/drawingml/2006/main" flipV="1">
            <a:off x="3951047" y="2310839"/>
            <a:ext cx="470959" cy="3215138"/>
          </a:xfrm>
          <a:prstGeom xmlns:a="http://schemas.openxmlformats.org/drawingml/2006/main" prst="straightConnector1">
            <a:avLst/>
          </a:prstGeom>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7" name="椭圆 6"/>
          <cdr:cNvSpPr/>
        </cdr:nvSpPr>
        <cdr:spPr xmlns:a="http://schemas.openxmlformats.org/drawingml/2006/main">
          <a:xfrm xmlns:a="http://schemas.openxmlformats.org/drawingml/2006/main" rot="19379997">
            <a:off x="4077300" y="3300418"/>
            <a:ext cx="238949" cy="1262076"/>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sz="800">
                <a:solidFill>
                  <a:sysClr val="windowText" lastClr="000000"/>
                </a:solidFill>
              </a:rPr>
              <a:t>0.8%</a:t>
            </a:r>
            <a:endParaRPr lang="en-US" altLang="zh-CN" sz="800">
              <a:solidFill>
                <a:sysClr val="windowText" lastClr="000000"/>
              </a:solidFill>
            </a:endParaRPr>
          </a:p>
        </cdr:txBody>
      </cdr:sp>
    </cdr:grp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32"/>
    <customShpInfo spid="_x0000_s1031"/>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4</Pages>
  <Words>131</Words>
  <Characters>751</Characters>
  <Lines>6</Lines>
  <Paragraphs>1</Paragraphs>
  <TotalTime>0</TotalTime>
  <ScaleCrop>false</ScaleCrop>
  <LinksUpToDate>false</LinksUpToDate>
  <CharactersWithSpaces>881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2023-10-13T05:49:24Z</dcterms:modified>
  <cp:revision>787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A2E3028EEE7A4D2FBDC80F2287629935_13</vt:lpwstr>
  </property>
</Properties>
</file>