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style1.xml" ContentType="application/vnd.ms-office.chartstyle+xml"/>
  <Override PartName="/word/charts/style2.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cs="Calibri"/>
        </w:rPr>
      </w:pPr>
      <w:bookmarkStart w:id="0" w:name="_Hlk23501351"/>
      <w:bookmarkStart w:id="1" w:name="OLE_LINK40"/>
      <w:bookmarkStart w:id="2" w:name="_Toc481801204"/>
      <w:bookmarkStart w:id="3" w:name="OLE_LINK39"/>
      <w:bookmarkStart w:id="4" w:name="OLE_LINK24"/>
      <w:bookmarkStart w:id="5" w:name="OLE_LINK15"/>
      <w:bookmarkStart w:id="6" w:name="_Toc415142861"/>
      <w:bookmarkStart w:id="7" w:name="_Toc415143481"/>
      <w:bookmarkStart w:id="8" w:name="_Toc438987549"/>
      <w:bookmarkStart w:id="9" w:name="_Toc418070112"/>
      <w:bookmarkStart w:id="10" w:name="_Toc517262917"/>
      <w:bookmarkStart w:id="11" w:name="_Toc415818939"/>
      <w:bookmarkStart w:id="12" w:name="_Toc453597319"/>
      <w:bookmarkStart w:id="13" w:name="OLE_LINK13"/>
      <w:r>
        <w:rPr>
          <w:rFonts w:cs="Calibri"/>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8863965</wp:posOffset>
                </wp:positionV>
                <wp:extent cx="5048250" cy="327660"/>
                <wp:effectExtent l="0" t="0" r="0" b="0"/>
                <wp:wrapNone/>
                <wp:docPr id="1438" name="Text Box 1438"/>
                <wp:cNvGraphicFramePr/>
                <a:graphic xmlns:a="http://schemas.openxmlformats.org/drawingml/2006/main">
                  <a:graphicData uri="http://schemas.microsoft.com/office/word/2010/wordprocessingShape">
                    <wps:wsp>
                      <wps:cNvSpPr txBox="1"/>
                      <wps:spPr>
                        <a:xfrm>
                          <a:off x="0" y="0"/>
                          <a:ext cx="5048250" cy="32780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jc w:val="center"/>
                              <w:rPr>
                                <w:b/>
                                <w:color w:val="FFFFFF" w:themeColor="background1"/>
                                <w:szCs w:val="22"/>
                                <w14:textFill>
                                  <w14:solidFill>
                                    <w14:schemeClr w14:val="bg1"/>
                                  </w14:solidFill>
                                </w14:textFill>
                              </w:rPr>
                            </w:pPr>
                            <w:r>
                              <w:rPr>
                                <w:b/>
                                <w:color w:val="FFFFFF" w:themeColor="background1"/>
                                <w:szCs w:val="22"/>
                                <w14:textFill>
                                  <w14:solidFill>
                                    <w14:schemeClr w14:val="bg1"/>
                                  </w14:solidFill>
                                </w14:textFill>
                              </w:rPr>
                              <w:t>www.qyresearch.com</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438" o:spid="_x0000_s1026" o:spt="202" type="#_x0000_t202" style="position:absolute;left:0pt;margin-top:697.95pt;height:25.8pt;width:397.5pt;mso-position-horizontal:center;mso-position-horizontal-relative:margin;z-index:251659264;mso-width-relative:page;mso-height-relative:page;" filled="f" stroked="f" coordsize="21600,21600" o:gfxdata="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eRDn/toAAAAKAQAADwAAAAAAAAABACAAAAAiAAAAZHJzL2Rvd25yZXYu&#10;eG1sUEsBAhQAFAAAAAgAh07iQMHwJl0yAgAAeQQAAA4AAAAAAAAAAQAgAAAAKQEAAGRycy9lMm9E&#10;b2MueG1sUEsFBgAAAAAGAAYAWQEAAM0FAAAAAA==&#10;">
                <v:fill on="f" focussize="0,0"/>
                <v:stroke on="f" weight="0.5pt"/>
                <v:imagedata o:title=""/>
                <o:lock v:ext="edit" aspectratio="f"/>
                <v:textbox>
                  <w:txbxContent>
                    <w:p>
                      <w:pPr>
                        <w:jc w:val="center"/>
                        <w:rPr>
                          <w:b/>
                          <w:color w:val="FFFFFF" w:themeColor="background1"/>
                          <w:szCs w:val="22"/>
                          <w14:textFill>
                            <w14:solidFill>
                              <w14:schemeClr w14:val="bg1"/>
                            </w14:solidFill>
                          </w14:textFill>
                        </w:rPr>
                      </w:pPr>
                      <w:r>
                        <w:rPr>
                          <w:b/>
                          <w:color w:val="FFFFFF" w:themeColor="background1"/>
                          <w:szCs w:val="22"/>
                          <w14:textFill>
                            <w14:solidFill>
                              <w14:schemeClr w14:val="bg1"/>
                            </w14:solidFill>
                          </w14:textFill>
                        </w:rPr>
                        <w:t>www.qyresearch.com</w:t>
                      </w:r>
                    </w:p>
                  </w:txbxContent>
                </v:textbox>
              </v:shape>
            </w:pict>
          </mc:Fallback>
        </mc:AlternateContent>
      </w:r>
      <w:r>
        <w:rPr>
          <w:rFonts w:cs="Calibri"/>
        </w:rPr>
        <mc:AlternateContent>
          <mc:Choice Requires="wps">
            <w:drawing>
              <wp:anchor distT="0" distB="0" distL="114300" distR="114300" simplePos="0" relativeHeight="251660288" behindDoc="0" locked="0" layoutInCell="1" allowOverlap="1">
                <wp:simplePos x="0" y="0"/>
                <wp:positionH relativeFrom="column">
                  <wp:posOffset>-283845</wp:posOffset>
                </wp:positionH>
                <wp:positionV relativeFrom="paragraph">
                  <wp:posOffset>2054860</wp:posOffset>
                </wp:positionV>
                <wp:extent cx="6337300" cy="1769110"/>
                <wp:effectExtent l="0" t="0" r="0" b="2540"/>
                <wp:wrapNone/>
                <wp:docPr id="1346" name="Text Box 479"/>
                <wp:cNvGraphicFramePr/>
                <a:graphic xmlns:a="http://schemas.openxmlformats.org/drawingml/2006/main">
                  <a:graphicData uri="http://schemas.microsoft.com/office/word/2010/wordprocessingShape">
                    <wps:wsp>
                      <wps:cNvSpPr txBox="1">
                        <a:spLocks noChangeArrowheads="1"/>
                      </wps:cNvSpPr>
                      <wps:spPr bwMode="auto">
                        <a:xfrm>
                          <a:off x="0" y="0"/>
                          <a:ext cx="6337005" cy="1769423"/>
                        </a:xfrm>
                        <a:prstGeom prst="rect">
                          <a:avLst/>
                        </a:prstGeom>
                        <a:noFill/>
                        <a:ln w="9525">
                          <a:noFill/>
                          <a:miter lim="800000"/>
                        </a:ln>
                        <a:effectLst/>
                      </wps:spPr>
                      <wps:txbx>
                        <w:txbxContent>
                          <w:p>
                            <w:pPr>
                              <w:widowControl/>
                              <w:topLinePunct w:val="0"/>
                              <w:jc w:val="left"/>
                              <w:rPr>
                                <w:rFonts w:hint="eastAsia" w:ascii="Century Gothic" w:hAnsi="Century Gothic" w:cs="Arial"/>
                                <w:b/>
                                <w:color w:val="002060"/>
                                <w:spacing w:val="-30"/>
                                <w:kern w:val="0"/>
                                <w:sz w:val="56"/>
                                <w:szCs w:val="56"/>
                                <w:lang w:val="en-US" w:eastAsia="zh-CN"/>
                              </w:rPr>
                            </w:pPr>
                            <w:r>
                              <w:rPr>
                                <w:rFonts w:hint="eastAsia" w:ascii="Century Gothic" w:hAnsi="Century Gothic" w:cs="Arial"/>
                                <w:b/>
                                <w:color w:val="002060"/>
                                <w:spacing w:val="-30"/>
                                <w:kern w:val="0"/>
                                <w:sz w:val="56"/>
                                <w:szCs w:val="56"/>
                                <w:lang w:val="en-US" w:eastAsia="zh-CN"/>
                              </w:rPr>
                              <w:t>蜗轮软管夹</w:t>
                            </w:r>
                          </w:p>
                          <w:p>
                            <w:pPr>
                              <w:widowControl/>
                              <w:topLinePunct w:val="0"/>
                              <w:jc w:val="left"/>
                              <w:rPr>
                                <w:rFonts w:ascii="Century Gothic" w:hAnsi="Century Gothic" w:cs="Arial"/>
                                <w:b/>
                                <w:color w:val="002060"/>
                                <w:spacing w:val="-30"/>
                                <w:kern w:val="0"/>
                                <w:sz w:val="52"/>
                                <w:szCs w:val="52"/>
                                <w:lang w:eastAsia="en-US"/>
                              </w:rPr>
                            </w:pPr>
                            <w:r>
                              <w:rPr>
                                <w:rFonts w:hint="eastAsia" w:ascii="Century Gothic" w:hAnsi="Century Gothic" w:cs="Arial"/>
                                <w:b/>
                                <w:color w:val="002060"/>
                                <w:spacing w:val="-30"/>
                                <w:kern w:val="0"/>
                                <w:sz w:val="52"/>
                                <w:szCs w:val="52"/>
                                <w:lang w:val="en-US" w:eastAsia="zh-CN"/>
                              </w:rPr>
                              <w:t>中国</w:t>
                            </w:r>
                            <w:r>
                              <w:rPr>
                                <w:rFonts w:hint="eastAsia" w:ascii="Century Gothic" w:hAnsi="Century Gothic" w:cs="Arial"/>
                                <w:b/>
                                <w:color w:val="002060"/>
                                <w:spacing w:val="-30"/>
                                <w:kern w:val="0"/>
                                <w:sz w:val="52"/>
                                <w:szCs w:val="52"/>
                              </w:rPr>
                              <w:t>市场研究报告</w:t>
                            </w:r>
                            <w:r>
                              <w:rPr>
                                <w:rFonts w:ascii="Century Gothic" w:hAnsi="Century Gothic" w:cs="Arial"/>
                                <w:b/>
                                <w:color w:val="002060"/>
                                <w:spacing w:val="-30"/>
                                <w:kern w:val="0"/>
                                <w:sz w:val="52"/>
                                <w:szCs w:val="52"/>
                                <w:lang w:eastAsia="en-US"/>
                              </w:rPr>
                              <w:t>2023-2029</w:t>
                            </w:r>
                          </w:p>
                        </w:txbxContent>
                      </wps:txbx>
                      <wps:bodyPr rot="0" vert="horz" wrap="square" lIns="91440" tIns="45720" rIns="91440" bIns="45720" anchor="t" anchorCtr="0">
                        <a:noAutofit/>
                      </wps:bodyPr>
                    </wps:wsp>
                  </a:graphicData>
                </a:graphic>
              </wp:anchor>
            </w:drawing>
          </mc:Choice>
          <mc:Fallback>
            <w:pict>
              <v:shape id="Text Box 479" o:spid="_x0000_s1026" o:spt="202" type="#_x0000_t202" style="position:absolute;left:0pt;margin-left:-22.35pt;margin-top:161.8pt;height:139.3pt;width:499pt;z-index:251660288;mso-width-relative:page;mso-height-relative:page;" filled="f" stroked="f" coordsize="21600,21600" o:gfxdata="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LvbpbNkA&#10;AAALAQAADwAAAAAAAAABACAAAAAiAAAAZHJzL2Rvd25yZXYueG1sUEsBAhQAFAAAAAgAh07iQBDM&#10;BnIeAgAAPAQAAA4AAAAAAAAAAQAgAAAAKAEAAGRycy9lMm9Eb2MueG1sUEsFBgAAAAAGAAYAWQEA&#10;ALgFAAAAAA==&#10;">
                <v:fill on="f" focussize="0,0"/>
                <v:stroke on="f" miterlimit="8" joinstyle="miter"/>
                <v:imagedata o:title=""/>
                <o:lock v:ext="edit" aspectratio="f"/>
                <v:textbox>
                  <w:txbxContent>
                    <w:p>
                      <w:pPr>
                        <w:widowControl/>
                        <w:topLinePunct w:val="0"/>
                        <w:jc w:val="left"/>
                        <w:rPr>
                          <w:rFonts w:hint="eastAsia" w:ascii="Century Gothic" w:hAnsi="Century Gothic" w:cs="Arial"/>
                          <w:b/>
                          <w:color w:val="002060"/>
                          <w:spacing w:val="-30"/>
                          <w:kern w:val="0"/>
                          <w:sz w:val="56"/>
                          <w:szCs w:val="56"/>
                          <w:lang w:val="en-US" w:eastAsia="zh-CN"/>
                        </w:rPr>
                      </w:pPr>
                      <w:r>
                        <w:rPr>
                          <w:rFonts w:hint="eastAsia" w:ascii="Century Gothic" w:hAnsi="Century Gothic" w:cs="Arial"/>
                          <w:b/>
                          <w:color w:val="002060"/>
                          <w:spacing w:val="-30"/>
                          <w:kern w:val="0"/>
                          <w:sz w:val="56"/>
                          <w:szCs w:val="56"/>
                          <w:lang w:val="en-US" w:eastAsia="zh-CN"/>
                        </w:rPr>
                        <w:t>蜗轮软管夹</w:t>
                      </w:r>
                    </w:p>
                    <w:p>
                      <w:pPr>
                        <w:widowControl/>
                        <w:topLinePunct w:val="0"/>
                        <w:jc w:val="left"/>
                        <w:rPr>
                          <w:rFonts w:ascii="Century Gothic" w:hAnsi="Century Gothic" w:cs="Arial"/>
                          <w:b/>
                          <w:color w:val="002060"/>
                          <w:spacing w:val="-30"/>
                          <w:kern w:val="0"/>
                          <w:sz w:val="52"/>
                          <w:szCs w:val="52"/>
                          <w:lang w:eastAsia="en-US"/>
                        </w:rPr>
                      </w:pPr>
                      <w:r>
                        <w:rPr>
                          <w:rFonts w:hint="eastAsia" w:ascii="Century Gothic" w:hAnsi="Century Gothic" w:cs="Arial"/>
                          <w:b/>
                          <w:color w:val="002060"/>
                          <w:spacing w:val="-30"/>
                          <w:kern w:val="0"/>
                          <w:sz w:val="52"/>
                          <w:szCs w:val="52"/>
                          <w:lang w:val="en-US" w:eastAsia="zh-CN"/>
                        </w:rPr>
                        <w:t>中国</w:t>
                      </w:r>
                      <w:r>
                        <w:rPr>
                          <w:rFonts w:hint="eastAsia" w:ascii="Century Gothic" w:hAnsi="Century Gothic" w:cs="Arial"/>
                          <w:b/>
                          <w:color w:val="002060"/>
                          <w:spacing w:val="-30"/>
                          <w:kern w:val="0"/>
                          <w:sz w:val="52"/>
                          <w:szCs w:val="52"/>
                        </w:rPr>
                        <w:t>市场研究报告</w:t>
                      </w:r>
                      <w:r>
                        <w:rPr>
                          <w:rFonts w:ascii="Century Gothic" w:hAnsi="Century Gothic" w:cs="Arial"/>
                          <w:b/>
                          <w:color w:val="002060"/>
                          <w:spacing w:val="-30"/>
                          <w:kern w:val="0"/>
                          <w:sz w:val="52"/>
                          <w:szCs w:val="52"/>
                          <w:lang w:eastAsia="en-US"/>
                        </w:rPr>
                        <w:t>2023-2029</w:t>
                      </w:r>
                    </w:p>
                  </w:txbxContent>
                </v:textbox>
              </v:shape>
            </w:pict>
          </mc:Fallback>
        </mc:AlternateContent>
      </w:r>
      <w:r>
        <w:rPr>
          <w:rFonts w:cs="Calibri"/>
        </w:rPr>
        <mc:AlternateContent>
          <mc:Choice Requires="wps">
            <w:drawing>
              <wp:anchor distT="0" distB="0" distL="114300" distR="114300" simplePos="0" relativeHeight="251661312" behindDoc="0" locked="0" layoutInCell="1" allowOverlap="1">
                <wp:simplePos x="0" y="0"/>
                <wp:positionH relativeFrom="column">
                  <wp:posOffset>-153035</wp:posOffset>
                </wp:positionH>
                <wp:positionV relativeFrom="paragraph">
                  <wp:posOffset>3918585</wp:posOffset>
                </wp:positionV>
                <wp:extent cx="4971415" cy="0"/>
                <wp:effectExtent l="0" t="19050" r="19685" b="19050"/>
                <wp:wrapNone/>
                <wp:docPr id="1348" name="Straight Connector 38"/>
                <wp:cNvGraphicFramePr/>
                <a:graphic xmlns:a="http://schemas.openxmlformats.org/drawingml/2006/main">
                  <a:graphicData uri="http://schemas.microsoft.com/office/word/2010/wordprocessingShape">
                    <wps:wsp>
                      <wps:cNvCnPr/>
                      <wps:spPr>
                        <a:xfrm>
                          <a:off x="0" y="0"/>
                          <a:ext cx="4971415" cy="0"/>
                        </a:xfrm>
                        <a:prstGeom prst="line">
                          <a:avLst/>
                        </a:prstGeom>
                        <a:ln w="28575">
                          <a:solidFill>
                            <a:schemeClr val="accent4"/>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8" o:spid="_x0000_s1026" o:spt="20" style="position:absolute;left:0pt;margin-left:-12.05pt;margin-top:308.55pt;height:0pt;width:391.45pt;z-index:251661312;mso-width-relative:page;mso-height-relative:page;" filled="f" stroked="t" coordsize="21600,21600" o:gfxdata="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DWn7DY2QAAAAsBAAAPAAAA&#10;AAAAAAEAIAAAACIAAABkcnMvZG93bnJldi54bWxQSwECFAAUAAAACACHTuJAS6AeHNsBAAC5AwAA&#10;DgAAAAAAAAABACAAAAAoAQAAZHJzL2Uyb0RvYy54bWxQSwUGAAAAAAYABgBZAQAAdQUAAAAA&#10;">
                <v:fill on="f" focussize="0,0"/>
                <v:stroke weight="2.25pt" color="#FFC000 [3207]" miterlimit="8" joinstyle="miter"/>
                <v:imagedata o:title=""/>
                <o:lock v:ext="edit" aspectratio="f"/>
              </v:line>
            </w:pict>
          </mc:Fallback>
        </mc:AlternateContent>
      </w:r>
      <w:r>
        <w:rPr>
          <w:rFonts w:cs="Calibri"/>
        </w:rPr>
        <w:drawing>
          <wp:anchor distT="0" distB="0" distL="114300" distR="114300" simplePos="0" relativeHeight="251662336" behindDoc="1" locked="0" layoutInCell="1" allowOverlap="1">
            <wp:simplePos x="0" y="0"/>
            <wp:positionH relativeFrom="page">
              <wp:posOffset>-62230</wp:posOffset>
            </wp:positionH>
            <wp:positionV relativeFrom="page">
              <wp:posOffset>-37465</wp:posOffset>
            </wp:positionV>
            <wp:extent cx="7665085" cy="10734675"/>
            <wp:effectExtent l="0" t="0" r="0"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7665079" cy="10734675"/>
                    </a:xfrm>
                    <a:prstGeom prst="rect">
                      <a:avLst/>
                    </a:prstGeom>
                  </pic:spPr>
                </pic:pic>
              </a:graphicData>
            </a:graphic>
          </wp:anchor>
        </w:drawing>
      </w:r>
    </w:p>
    <w:p>
      <w:pPr>
        <w:sectPr>
          <w:headerReference r:id="rId5" w:type="first"/>
          <w:headerReference r:id="rId4" w:type="even"/>
          <w:pgSz w:w="11906" w:h="16838"/>
          <w:pgMar w:top="1418" w:right="1134" w:bottom="851" w:left="1134" w:header="709" w:footer="567" w:gutter="0"/>
          <w:pgNumType w:start="0"/>
          <w:cols w:space="708" w:num="1"/>
          <w:docGrid w:linePitch="360" w:charSpace="0"/>
        </w:sectPr>
      </w:pPr>
    </w:p>
    <w:bookmarkEnd w:id="0"/>
    <w:p>
      <w:pPr>
        <w:pStyle w:val="167"/>
      </w:pPr>
      <w:r>
        <w:rPr>
          <w:rFonts w:hint="eastAsia"/>
          <w:lang w:eastAsia="zh-CN"/>
        </w:rPr>
        <w:t>蜗轮软管夹</w:t>
      </w:r>
      <w:r>
        <w:rPr>
          <w:rFonts w:hint="eastAsia"/>
          <w:lang w:val="en-US" w:eastAsia="zh-CN"/>
        </w:rPr>
        <w:t>中国</w:t>
      </w:r>
      <w:r>
        <w:rPr>
          <w:rFonts w:hint="eastAsia"/>
          <w:lang w:eastAsia="zh-CN"/>
        </w:rPr>
        <w:t>市场总体规模</w:t>
      </w:r>
    </w:p>
    <w:p>
      <w:pPr>
        <w:pStyle w:val="145"/>
        <w:rPr>
          <w:rFonts w:hint="eastAsia"/>
          <w:lang w:eastAsia="zh-CN"/>
        </w:rPr>
      </w:pPr>
      <w:r>
        <w:rPr>
          <w:rFonts w:hint="eastAsia"/>
          <w:lang w:eastAsia="zh-CN"/>
        </w:rPr>
        <w:t>蜗轮软管夹通常用于将软管固定到配件上。 这些夹具由一条冲压金属带组成，该金属带通过蜗轮连接。 冲压的金属具有适合蜗轮蜗杆的穿孔，旋转时，夹具会松动或拧紧。</w:t>
      </w:r>
    </w:p>
    <w:p>
      <w:pPr>
        <w:pStyle w:val="145"/>
      </w:pPr>
      <w:r>
        <w:drawing>
          <wp:inline distT="0" distB="0" distL="0" distR="0">
            <wp:extent cx="3819525" cy="1901190"/>
            <wp:effectExtent l="0" t="0" r="9525" b="381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r:embed="rId8"/>
                    <a:stretch>
                      <a:fillRect/>
                    </a:stretch>
                  </pic:blipFill>
                  <pic:spPr>
                    <a:xfrm>
                      <a:off x="0" y="0"/>
                      <a:ext cx="3828563" cy="1906170"/>
                    </a:xfrm>
                    <a:prstGeom prst="rect">
                      <a:avLst/>
                    </a:prstGeom>
                  </pic:spPr>
                </pic:pic>
              </a:graphicData>
            </a:graphic>
          </wp:inline>
        </w:drawing>
      </w:r>
    </w:p>
    <w:p>
      <w:pPr>
        <w:pStyle w:val="145"/>
      </w:pPr>
      <w:r>
        <w:rPr>
          <w:rFonts w:hint="eastAsia"/>
        </w:rPr>
        <w:t>据QYResearch调研团队最新报告“</w:t>
      </w:r>
      <w:r>
        <w:rPr>
          <w:rFonts w:hint="eastAsia"/>
          <w:lang w:val="en-US" w:eastAsia="zh-CN"/>
        </w:rPr>
        <w:t>中国</w:t>
      </w:r>
      <w:r>
        <w:rPr>
          <w:rFonts w:hint="eastAsia"/>
          <w:lang w:eastAsia="zh-CN"/>
        </w:rPr>
        <w:t>蜗轮软管夹</w:t>
      </w:r>
      <w:r>
        <w:rPr>
          <w:rFonts w:hint="eastAsia"/>
        </w:rPr>
        <w:t>市场报告2023-2029”显示，预计2029年</w:t>
      </w:r>
      <w:r>
        <w:rPr>
          <w:rFonts w:hint="eastAsia"/>
          <w:lang w:val="en-US" w:eastAsia="zh-CN"/>
        </w:rPr>
        <w:t>中国</w:t>
      </w:r>
      <w:r>
        <w:rPr>
          <w:rFonts w:hint="eastAsia"/>
          <w:lang w:eastAsia="zh-CN"/>
        </w:rPr>
        <w:t>蜗轮软管夹</w:t>
      </w:r>
      <w:r>
        <w:rPr>
          <w:rFonts w:hint="eastAsia"/>
        </w:rPr>
        <w:t>市场规模将达到3.9亿元，未来几年年复合增长率CAGR为4.4%。</w:t>
      </w:r>
    </w:p>
    <w:p>
      <w:pPr>
        <w:pStyle w:val="148"/>
      </w:pPr>
      <w:r>
        <w:rPr>
          <w:rFonts w:hint="eastAsia"/>
          <w:lang w:eastAsia="zh-CN"/>
        </w:rPr>
        <w:t>蜗轮软管夹，</w:t>
      </w:r>
      <w:r>
        <w:rPr>
          <w:rFonts w:hint="eastAsia"/>
          <w:lang w:val="en-US" w:eastAsia="zh-CN"/>
        </w:rPr>
        <w:t>中国</w:t>
      </w:r>
      <w:r>
        <w:rPr>
          <w:rFonts w:hint="eastAsia"/>
          <w:lang w:eastAsia="zh-CN"/>
        </w:rPr>
        <w:t>市场总体规模，预计2</w:t>
      </w:r>
      <w:r>
        <w:rPr>
          <w:lang w:eastAsia="zh-CN"/>
        </w:rPr>
        <w:t>029</w:t>
      </w:r>
      <w:r>
        <w:rPr>
          <w:rFonts w:hint="eastAsia"/>
          <w:lang w:eastAsia="zh-CN"/>
        </w:rPr>
        <w:t>年达到</w:t>
      </w:r>
      <w:r>
        <w:rPr>
          <w:rFonts w:hint="eastAsia"/>
          <w:lang w:val="en-US" w:eastAsia="zh-CN"/>
        </w:rPr>
        <w:t>3.9</w:t>
      </w:r>
      <w:r>
        <w:rPr>
          <w:rFonts w:hint="eastAsia"/>
          <w:lang w:eastAsia="zh-CN"/>
        </w:rPr>
        <w:t>元</w:t>
      </w:r>
    </w:p>
    <w:p>
      <w:pPr>
        <w:pStyle w:val="143"/>
      </w:pPr>
      <w:r>
        <w:drawing>
          <wp:inline distT="0" distB="0" distL="114300" distR="114300">
            <wp:extent cx="6188710" cy="2936240"/>
            <wp:effectExtent l="0" t="0" r="2540" b="16510"/>
            <wp:docPr id="3"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r>
        <w:rPr>
          <w:rFonts w:hint="eastAsia"/>
          <w:lang w:eastAsia="zh-CN"/>
        </w:rPr>
        <w:t>如上图表/数据，摘自QYResearch最新报告“</w:t>
      </w:r>
      <w:r>
        <w:rPr>
          <w:rFonts w:hint="eastAsia"/>
          <w:lang w:val="en-US" w:eastAsia="zh-CN"/>
        </w:rPr>
        <w:t>中国</w:t>
      </w:r>
      <w:r>
        <w:rPr>
          <w:rFonts w:hint="eastAsia"/>
          <w:lang w:eastAsia="zh-CN"/>
        </w:rPr>
        <w:t>蜗轮软管夹</w:t>
      </w:r>
      <w:r>
        <w:rPr>
          <w:rFonts w:hint="eastAsia"/>
        </w:rPr>
        <w:t>市场研究报告2023-2029</w:t>
      </w:r>
      <w:r>
        <w:t>.</w:t>
      </w:r>
    </w:p>
    <w:p>
      <w:pPr>
        <w:pStyle w:val="145"/>
      </w:pPr>
    </w:p>
    <w:p>
      <w:pPr>
        <w:pStyle w:val="148"/>
        <w:rPr>
          <w:lang w:eastAsia="zh-CN"/>
        </w:rPr>
      </w:pPr>
      <w:r>
        <w:rPr>
          <w:rFonts w:hint="eastAsia"/>
          <w:lang w:val="en-US" w:eastAsia="zh-CN"/>
        </w:rPr>
        <w:t>中国</w:t>
      </w:r>
      <w:r>
        <w:rPr>
          <w:rFonts w:hint="eastAsia"/>
          <w:lang w:eastAsia="zh-CN"/>
        </w:rPr>
        <w:t>蜗轮软管夹市场前</w:t>
      </w:r>
      <w:r>
        <w:rPr>
          <w:rFonts w:hint="eastAsia"/>
          <w:lang w:val="en-US" w:eastAsia="zh-CN"/>
        </w:rPr>
        <w:t>10</w:t>
      </w:r>
      <w:r>
        <w:rPr>
          <w:rFonts w:hint="eastAsia"/>
          <w:lang w:eastAsia="zh-CN"/>
        </w:rPr>
        <w:t>强生产商排名及市场占有率（持续更新）</w:t>
      </w:r>
    </w:p>
    <w:p>
      <w:pPr>
        <w:pStyle w:val="145"/>
        <w:jc w:val="center"/>
      </w:pPr>
      <w:r>
        <w:drawing>
          <wp:inline distT="0" distB="0" distL="114300" distR="114300">
            <wp:extent cx="4572000" cy="4399915"/>
            <wp:effectExtent l="0" t="0" r="0" b="635"/>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pStyle w:val="143"/>
      </w:pPr>
      <w:r>
        <w:rPr>
          <w:rFonts w:hint="eastAsia"/>
          <w:lang w:eastAsia="zh-CN"/>
        </w:rPr>
        <w:t>如上图表/数据，摘自QYResearch最新报告“</w:t>
      </w:r>
      <w:r>
        <w:rPr>
          <w:rFonts w:hint="eastAsia"/>
          <w:lang w:val="en-US" w:eastAsia="zh-CN"/>
        </w:rPr>
        <w:t>中国</w:t>
      </w:r>
      <w:r>
        <w:rPr>
          <w:rFonts w:hint="eastAsia"/>
          <w:lang w:eastAsia="zh-CN"/>
        </w:rPr>
        <w:t>蜗轮软管夹</w:t>
      </w:r>
      <w:r>
        <w:rPr>
          <w:rFonts w:hint="eastAsia"/>
        </w:rPr>
        <w:t>市场研究报告2023-2029</w:t>
      </w:r>
      <w:r>
        <w:t>.</w:t>
      </w:r>
    </w:p>
    <w:p>
      <w:pPr>
        <w:pStyle w:val="145"/>
        <w:rPr>
          <w:rFonts w:hint="eastAsia"/>
          <w:lang w:val="en-US" w:eastAsia="zh-CN"/>
        </w:rPr>
      </w:pPr>
      <w:r>
        <w:rPr>
          <w:rFonts w:hint="eastAsia"/>
          <w:lang w:val="en-US" w:eastAsia="zh-CN"/>
        </w:rPr>
        <w:t>中国范围内蜗轮软管夹生产商主要包括艾迪尔、摩瑞、诺马集团、欧梯克、凯诺实业等。2022年，中国前四大厂商占有大约41.0%的市场份额。</w:t>
      </w:r>
    </w:p>
    <w:p>
      <w:pPr>
        <w:pStyle w:val="145"/>
      </w:pPr>
      <w:r>
        <w:br w:type="page"/>
      </w:r>
    </w:p>
    <w:bookmarkEnd w:id="1"/>
    <w:bookmarkEnd w:id="2"/>
    <w:bookmarkEnd w:id="3"/>
    <w:bookmarkEnd w:id="4"/>
    <w:bookmarkEnd w:id="5"/>
    <w:bookmarkEnd w:id="6"/>
    <w:bookmarkEnd w:id="7"/>
    <w:bookmarkEnd w:id="8"/>
    <w:bookmarkEnd w:id="9"/>
    <w:bookmarkEnd w:id="10"/>
    <w:bookmarkEnd w:id="11"/>
    <w:bookmarkEnd w:id="12"/>
    <w:bookmarkEnd w:id="13"/>
    <w:p>
      <w:pPr>
        <w:pStyle w:val="167"/>
        <w:rPr>
          <w:lang w:eastAsia="zh-CN"/>
        </w:rPr>
      </w:pPr>
      <w:r>
        <w:rPr>
          <w:rFonts w:hint="eastAsia"/>
          <w:lang w:eastAsia="zh-CN"/>
        </w:rPr>
        <w:t>2023年全球蜗轮软管夹行业总体规模、主要企业国内外市场占有率及排名</w:t>
      </w:r>
    </w:p>
    <w:p>
      <w:pPr>
        <w:pStyle w:val="145"/>
        <w:rPr>
          <w:rFonts w:hint="eastAsia"/>
          <w:lang w:eastAsia="zh-CN"/>
        </w:rPr>
      </w:pPr>
      <w:r>
        <w:rPr>
          <w:rFonts w:hint="eastAsia"/>
          <w:lang w:eastAsia="zh-CN"/>
        </w:rPr>
        <w:t>根据QYResearch研究团队调研统计，2022年全球蜗轮软管夹市场销售额达到了 亿元，预计2029年将达到 亿元，年复合增长率（CAGR）为 %（2023-2029）。中国市场在过去几年变化较快，2022年市场规模为 亿元，约占全球的 %，预计2029年将达到 亿元，届时全球占比将达到 %。</w:t>
      </w:r>
    </w:p>
    <w:p>
      <w:pPr>
        <w:pStyle w:val="145"/>
        <w:rPr>
          <w:rFonts w:hint="eastAsia"/>
          <w:lang w:eastAsia="zh-CN"/>
        </w:rPr>
      </w:pPr>
      <w:r>
        <w:rPr>
          <w:rFonts w:hint="eastAsia"/>
          <w:lang w:eastAsia="zh-CN"/>
        </w:rPr>
        <w:t>在中国提供蜗轮软管夹（Worm Gear Hose Clamps）核心厂商包括艾迪尔和摩瑞等，前两大厂商占有约30%的市场份额。</w:t>
      </w:r>
    </w:p>
    <w:p>
      <w:pPr>
        <w:pStyle w:val="145"/>
        <w:rPr>
          <w:rFonts w:hint="eastAsia"/>
          <w:lang w:eastAsia="zh-CN"/>
        </w:rPr>
      </w:pPr>
      <w:r>
        <w:rPr>
          <w:rFonts w:hint="eastAsia"/>
          <w:lang w:eastAsia="zh-CN"/>
        </w:rPr>
        <w:t>本文侧重研究全球蜗轮软管夹总体规模及主要厂商占有率和排名，主要统计指标包括蜗轮软管夹产能、销量、销售收入、价格、市场份额及排名等，企业数据主要侧重近三年行业内主要厂商的市场销售情况。地区层面，主要分析过去五年和未来五年行业内主要生产地区和主要消费地区的规模及趋势。</w:t>
      </w:r>
    </w:p>
    <w:p>
      <w:pPr>
        <w:pStyle w:val="145"/>
        <w:rPr>
          <w:rFonts w:hint="eastAsia"/>
          <w:lang w:eastAsia="zh-CN"/>
        </w:rPr>
      </w:pPr>
      <w:r>
        <w:rPr>
          <w:rFonts w:hint="eastAsia"/>
          <w:lang w:eastAsia="zh-CN"/>
        </w:rPr>
        <w:t>QYResearch（恒州博智）是全球知名的大型咨询机构，长期专注于各行业细分市场的调研。行业层面，重点关注可能存在“卡脖子”的高科技细分领域。企业层面，重点关注在国际和国内市场在规模和技术等层面具有代表性的企业，挖掘出各个行业的国家级“专精特新”企业，以全球视角，深度洞察行业竞争态势、发展现状及未来趋势。</w:t>
      </w:r>
    </w:p>
    <w:p>
      <w:pPr>
        <w:pStyle w:val="145"/>
        <w:rPr>
          <w:rFonts w:hint="eastAsia"/>
          <w:lang w:eastAsia="zh-CN"/>
        </w:rPr>
      </w:pPr>
      <w:r>
        <w:rPr>
          <w:rFonts w:hint="eastAsia"/>
          <w:lang w:eastAsia="zh-CN"/>
        </w:rPr>
        <w:t>本文主要企业名单如下，也可根据客户要求增加目标企业：</w:t>
      </w:r>
    </w:p>
    <w:p>
      <w:pPr>
        <w:pStyle w:val="145"/>
        <w:rPr>
          <w:rFonts w:hint="eastAsia"/>
          <w:lang w:eastAsia="zh-CN"/>
        </w:rPr>
      </w:pPr>
      <w:r>
        <w:rPr>
          <w:rFonts w:hint="eastAsia"/>
          <w:lang w:eastAsia="zh-CN"/>
        </w:rPr>
        <w:t xml:space="preserve">    艾迪尔</w:t>
      </w:r>
    </w:p>
    <w:p>
      <w:pPr>
        <w:pStyle w:val="145"/>
        <w:rPr>
          <w:rFonts w:hint="eastAsia"/>
          <w:lang w:eastAsia="zh-CN"/>
        </w:rPr>
      </w:pPr>
      <w:r>
        <w:rPr>
          <w:rFonts w:hint="eastAsia"/>
          <w:lang w:eastAsia="zh-CN"/>
        </w:rPr>
        <w:t xml:space="preserve">    摩瑞</w:t>
      </w:r>
    </w:p>
    <w:p>
      <w:pPr>
        <w:pStyle w:val="145"/>
        <w:rPr>
          <w:rFonts w:hint="eastAsia"/>
          <w:lang w:eastAsia="zh-CN"/>
        </w:rPr>
      </w:pPr>
      <w:r>
        <w:rPr>
          <w:rFonts w:hint="eastAsia"/>
          <w:lang w:eastAsia="zh-CN"/>
        </w:rPr>
        <w:t xml:space="preserve">    诺马集团</w:t>
      </w:r>
    </w:p>
    <w:p>
      <w:pPr>
        <w:pStyle w:val="145"/>
        <w:rPr>
          <w:rFonts w:hint="eastAsia"/>
          <w:lang w:eastAsia="zh-CN"/>
        </w:rPr>
      </w:pPr>
      <w:r>
        <w:rPr>
          <w:rFonts w:hint="eastAsia"/>
          <w:lang w:eastAsia="zh-CN"/>
        </w:rPr>
        <w:t xml:space="preserve">    欧梯克</w:t>
      </w:r>
    </w:p>
    <w:p>
      <w:pPr>
        <w:pStyle w:val="145"/>
        <w:rPr>
          <w:rFonts w:hint="eastAsia"/>
          <w:lang w:eastAsia="zh-CN"/>
        </w:rPr>
      </w:pPr>
      <w:r>
        <w:rPr>
          <w:rFonts w:hint="eastAsia"/>
          <w:lang w:eastAsia="zh-CN"/>
        </w:rPr>
        <w:t xml:space="preserve">    凯诺实业</w:t>
      </w:r>
    </w:p>
    <w:p>
      <w:pPr>
        <w:pStyle w:val="145"/>
        <w:rPr>
          <w:rFonts w:hint="eastAsia"/>
          <w:lang w:eastAsia="zh-CN"/>
        </w:rPr>
      </w:pPr>
      <w:r>
        <w:rPr>
          <w:rFonts w:hint="eastAsia"/>
          <w:lang w:eastAsia="zh-CN"/>
        </w:rPr>
        <w:t xml:space="preserve">    东莞海统</w:t>
      </w:r>
    </w:p>
    <w:p>
      <w:pPr>
        <w:pStyle w:val="145"/>
        <w:rPr>
          <w:rFonts w:hint="eastAsia"/>
          <w:lang w:eastAsia="zh-CN"/>
        </w:rPr>
      </w:pPr>
      <w:r>
        <w:rPr>
          <w:rFonts w:hint="eastAsia"/>
          <w:lang w:eastAsia="zh-CN"/>
        </w:rPr>
        <w:t xml:space="preserve">    恒威卡箍</w:t>
      </w:r>
    </w:p>
    <w:p>
      <w:pPr>
        <w:pStyle w:val="145"/>
        <w:rPr>
          <w:rFonts w:hint="eastAsia"/>
          <w:lang w:eastAsia="zh-CN"/>
        </w:rPr>
      </w:pPr>
      <w:r>
        <w:rPr>
          <w:rFonts w:hint="eastAsia"/>
          <w:lang w:eastAsia="zh-CN"/>
        </w:rPr>
        <w:t xml:space="preserve">    新宇卡箍</w:t>
      </w:r>
    </w:p>
    <w:p>
      <w:pPr>
        <w:pStyle w:val="145"/>
        <w:rPr>
          <w:rFonts w:hint="eastAsia"/>
          <w:lang w:eastAsia="zh-CN"/>
        </w:rPr>
      </w:pPr>
      <w:r>
        <w:rPr>
          <w:rFonts w:hint="eastAsia"/>
          <w:lang w:eastAsia="zh-CN"/>
        </w:rPr>
        <w:t xml:space="preserve">    诺成喉箍</w:t>
      </w:r>
    </w:p>
    <w:p>
      <w:pPr>
        <w:pStyle w:val="145"/>
        <w:rPr>
          <w:rFonts w:hint="eastAsia"/>
          <w:lang w:eastAsia="zh-CN"/>
        </w:rPr>
      </w:pPr>
      <w:r>
        <w:rPr>
          <w:rFonts w:hint="eastAsia"/>
          <w:lang w:eastAsia="zh-CN"/>
        </w:rPr>
        <w:t xml:space="preserve">    众鑫喉箍</w:t>
      </w:r>
    </w:p>
    <w:p>
      <w:pPr>
        <w:pStyle w:val="145"/>
        <w:rPr>
          <w:rFonts w:hint="eastAsia"/>
          <w:lang w:eastAsia="zh-CN"/>
        </w:rPr>
      </w:pPr>
      <w:r>
        <w:rPr>
          <w:rFonts w:hint="eastAsia"/>
          <w:lang w:eastAsia="zh-CN"/>
        </w:rPr>
        <w:t>按照不同材料，包括如下几个类别：</w:t>
      </w:r>
    </w:p>
    <w:p>
      <w:pPr>
        <w:pStyle w:val="145"/>
        <w:rPr>
          <w:rFonts w:hint="eastAsia"/>
          <w:lang w:eastAsia="zh-CN"/>
        </w:rPr>
      </w:pPr>
      <w:r>
        <w:rPr>
          <w:rFonts w:hint="eastAsia"/>
          <w:lang w:eastAsia="zh-CN"/>
        </w:rPr>
        <w:t xml:space="preserve">    碳钢</w:t>
      </w:r>
    </w:p>
    <w:p>
      <w:pPr>
        <w:pStyle w:val="145"/>
        <w:rPr>
          <w:rFonts w:hint="eastAsia"/>
          <w:lang w:eastAsia="zh-CN"/>
        </w:rPr>
      </w:pPr>
      <w:r>
        <w:rPr>
          <w:rFonts w:hint="eastAsia"/>
          <w:lang w:eastAsia="zh-CN"/>
        </w:rPr>
        <w:t xml:space="preserve">    不锈钢</w:t>
      </w:r>
    </w:p>
    <w:p>
      <w:pPr>
        <w:pStyle w:val="145"/>
        <w:rPr>
          <w:rFonts w:hint="eastAsia"/>
          <w:lang w:eastAsia="zh-CN"/>
        </w:rPr>
      </w:pPr>
      <w:r>
        <w:rPr>
          <w:rFonts w:hint="eastAsia"/>
          <w:lang w:eastAsia="zh-CN"/>
        </w:rPr>
        <w:t>按照不同应用，主要包括如下几个方面：</w:t>
      </w:r>
    </w:p>
    <w:p>
      <w:pPr>
        <w:pStyle w:val="145"/>
        <w:rPr>
          <w:rFonts w:hint="eastAsia"/>
          <w:lang w:eastAsia="zh-CN"/>
        </w:rPr>
      </w:pPr>
      <w:r>
        <w:rPr>
          <w:rFonts w:hint="eastAsia"/>
          <w:lang w:eastAsia="zh-CN"/>
        </w:rPr>
        <w:t xml:space="preserve">    汽车</w:t>
      </w:r>
    </w:p>
    <w:p>
      <w:pPr>
        <w:pStyle w:val="145"/>
        <w:rPr>
          <w:rFonts w:hint="eastAsia"/>
          <w:lang w:eastAsia="zh-CN"/>
        </w:rPr>
      </w:pPr>
      <w:r>
        <w:rPr>
          <w:rFonts w:hint="eastAsia"/>
          <w:lang w:eastAsia="zh-CN"/>
        </w:rPr>
        <w:t xml:space="preserve">    工业</w:t>
      </w:r>
    </w:p>
    <w:p>
      <w:pPr>
        <w:pStyle w:val="145"/>
        <w:rPr>
          <w:rFonts w:hint="eastAsia"/>
          <w:lang w:eastAsia="zh-CN"/>
        </w:rPr>
      </w:pPr>
      <w:r>
        <w:rPr>
          <w:rFonts w:hint="eastAsia"/>
          <w:lang w:eastAsia="zh-CN"/>
        </w:rPr>
        <w:t xml:space="preserve">    水处理</w:t>
      </w:r>
    </w:p>
    <w:p>
      <w:pPr>
        <w:pStyle w:val="145"/>
        <w:rPr>
          <w:rFonts w:hint="eastAsia"/>
          <w:lang w:eastAsia="zh-CN"/>
        </w:rPr>
      </w:pPr>
      <w:r>
        <w:rPr>
          <w:rFonts w:hint="eastAsia"/>
          <w:lang w:eastAsia="zh-CN"/>
        </w:rPr>
        <w:t xml:space="preserve">    其它</w:t>
      </w:r>
    </w:p>
    <w:p>
      <w:pPr>
        <w:pStyle w:val="145"/>
        <w:rPr>
          <w:rFonts w:hint="eastAsia"/>
          <w:lang w:eastAsia="zh-CN"/>
        </w:rPr>
      </w:pPr>
      <w:r>
        <w:rPr>
          <w:rFonts w:hint="eastAsia"/>
          <w:lang w:eastAsia="zh-CN"/>
        </w:rPr>
        <w:t>重点关注如下几个地区</w:t>
      </w:r>
    </w:p>
    <w:p>
      <w:pPr>
        <w:pStyle w:val="145"/>
        <w:rPr>
          <w:rFonts w:hint="eastAsia"/>
          <w:lang w:eastAsia="zh-CN"/>
        </w:rPr>
      </w:pPr>
      <w:r>
        <w:rPr>
          <w:rFonts w:hint="eastAsia"/>
          <w:lang w:eastAsia="zh-CN"/>
        </w:rPr>
        <w:t xml:space="preserve">    北美</w:t>
      </w:r>
    </w:p>
    <w:p>
      <w:pPr>
        <w:pStyle w:val="145"/>
        <w:rPr>
          <w:rFonts w:hint="eastAsia"/>
          <w:lang w:eastAsia="zh-CN"/>
        </w:rPr>
      </w:pPr>
      <w:r>
        <w:rPr>
          <w:rFonts w:hint="eastAsia"/>
          <w:lang w:eastAsia="zh-CN"/>
        </w:rPr>
        <w:t xml:space="preserve">    欧洲</w:t>
      </w:r>
    </w:p>
    <w:p>
      <w:pPr>
        <w:pStyle w:val="145"/>
        <w:rPr>
          <w:rFonts w:hint="eastAsia"/>
          <w:lang w:eastAsia="zh-CN"/>
        </w:rPr>
      </w:pPr>
      <w:r>
        <w:rPr>
          <w:rFonts w:hint="eastAsia"/>
          <w:lang w:eastAsia="zh-CN"/>
        </w:rPr>
        <w:t xml:space="preserve">    中国</w:t>
      </w:r>
    </w:p>
    <w:p>
      <w:pPr>
        <w:pStyle w:val="145"/>
        <w:rPr>
          <w:rFonts w:hint="eastAsia"/>
          <w:lang w:eastAsia="zh-CN"/>
        </w:rPr>
      </w:pPr>
      <w:r>
        <w:rPr>
          <w:rFonts w:hint="eastAsia"/>
          <w:lang w:eastAsia="zh-CN"/>
        </w:rPr>
        <w:t xml:space="preserve">    日本</w:t>
      </w:r>
    </w:p>
    <w:p>
      <w:pPr>
        <w:pStyle w:val="145"/>
        <w:rPr>
          <w:rFonts w:hint="eastAsia"/>
          <w:lang w:eastAsia="zh-CN"/>
        </w:rPr>
      </w:pPr>
      <w:r>
        <w:rPr>
          <w:rFonts w:hint="eastAsia"/>
          <w:lang w:eastAsia="zh-CN"/>
        </w:rPr>
        <w:t>本文正文共10章，各章节主要内容如下：</w:t>
      </w:r>
    </w:p>
    <w:p>
      <w:pPr>
        <w:pStyle w:val="145"/>
        <w:rPr>
          <w:rFonts w:hint="eastAsia"/>
          <w:lang w:eastAsia="zh-CN"/>
        </w:rPr>
      </w:pPr>
      <w:r>
        <w:rPr>
          <w:rFonts w:hint="eastAsia"/>
          <w:lang w:eastAsia="zh-CN"/>
        </w:rPr>
        <w:t>第1章：报告统计范围、所属行业、产品细分及主要的下游市场，行业现状及进入壁垒等</w:t>
      </w:r>
    </w:p>
    <w:p>
      <w:pPr>
        <w:pStyle w:val="145"/>
        <w:rPr>
          <w:rFonts w:hint="eastAsia"/>
          <w:lang w:eastAsia="zh-CN"/>
        </w:rPr>
      </w:pPr>
      <w:r>
        <w:rPr>
          <w:rFonts w:hint="eastAsia"/>
          <w:lang w:eastAsia="zh-CN"/>
        </w:rPr>
        <w:t>第2章：国内外主要企业市场占有率及排名</w:t>
      </w:r>
    </w:p>
    <w:p>
      <w:pPr>
        <w:pStyle w:val="145"/>
        <w:rPr>
          <w:rFonts w:hint="eastAsia"/>
          <w:lang w:eastAsia="zh-CN"/>
        </w:rPr>
      </w:pPr>
      <w:r>
        <w:rPr>
          <w:rFonts w:hint="eastAsia"/>
          <w:lang w:eastAsia="zh-CN"/>
        </w:rPr>
        <w:t>第3章：全球总体规模（产能、产量、销量、需求量、销售收入等数据，2018-2029年）</w:t>
      </w:r>
    </w:p>
    <w:p>
      <w:pPr>
        <w:pStyle w:val="145"/>
        <w:rPr>
          <w:rFonts w:hint="eastAsia"/>
          <w:lang w:eastAsia="zh-CN"/>
        </w:rPr>
      </w:pPr>
      <w:r>
        <w:rPr>
          <w:rFonts w:hint="eastAsia"/>
          <w:lang w:eastAsia="zh-CN"/>
        </w:rPr>
        <w:t>第4章：全球蜗轮软管夹主要地区分析，包括销量、销售收入等</w:t>
      </w:r>
    </w:p>
    <w:p>
      <w:pPr>
        <w:pStyle w:val="145"/>
        <w:rPr>
          <w:rFonts w:hint="eastAsia"/>
          <w:lang w:eastAsia="zh-CN"/>
        </w:rPr>
      </w:pPr>
      <w:r>
        <w:rPr>
          <w:rFonts w:hint="eastAsia"/>
          <w:lang w:eastAsia="zh-CN"/>
        </w:rPr>
        <w:t>第5章：全球蜗轮软管夹主要厂商基本情况介绍，包括公司简介、蜗轮软管夹产品型号、销量、收入、价格及最新动态等</w:t>
      </w:r>
    </w:p>
    <w:p>
      <w:pPr>
        <w:pStyle w:val="145"/>
        <w:rPr>
          <w:rFonts w:hint="eastAsia"/>
          <w:lang w:eastAsia="zh-CN"/>
        </w:rPr>
      </w:pPr>
      <w:r>
        <w:rPr>
          <w:rFonts w:hint="eastAsia"/>
          <w:lang w:eastAsia="zh-CN"/>
        </w:rPr>
        <w:t>第6章：全球不同材料蜗轮软管夹销量、收入、价格及份额等</w:t>
      </w:r>
    </w:p>
    <w:p>
      <w:pPr>
        <w:pStyle w:val="145"/>
        <w:rPr>
          <w:rFonts w:hint="eastAsia"/>
          <w:lang w:eastAsia="zh-CN"/>
        </w:rPr>
      </w:pPr>
      <w:r>
        <w:rPr>
          <w:rFonts w:hint="eastAsia"/>
          <w:lang w:eastAsia="zh-CN"/>
        </w:rPr>
        <w:t>第7章：全球不同应用蜗轮软管夹销量、收入、价格及份额等</w:t>
      </w:r>
    </w:p>
    <w:p>
      <w:pPr>
        <w:pStyle w:val="145"/>
        <w:rPr>
          <w:rFonts w:hint="eastAsia"/>
          <w:lang w:eastAsia="zh-CN"/>
        </w:rPr>
      </w:pPr>
      <w:r>
        <w:rPr>
          <w:rFonts w:hint="eastAsia"/>
          <w:lang w:eastAsia="zh-CN"/>
        </w:rPr>
        <w:t>第8章：行业发展趋势、驱动因素、行业政策等</w:t>
      </w:r>
    </w:p>
    <w:p>
      <w:pPr>
        <w:pStyle w:val="145"/>
        <w:rPr>
          <w:rFonts w:hint="eastAsia"/>
          <w:lang w:eastAsia="zh-CN"/>
        </w:rPr>
      </w:pPr>
      <w:r>
        <w:rPr>
          <w:rFonts w:hint="eastAsia"/>
          <w:lang w:eastAsia="zh-CN"/>
        </w:rPr>
        <w:t>第9章：产业链、上下游分析、生产模式、销售，模式及销售渠道分析等</w:t>
      </w:r>
    </w:p>
    <w:p>
      <w:pPr>
        <w:pStyle w:val="145"/>
        <w:rPr>
          <w:rFonts w:hint="eastAsia"/>
          <w:lang w:eastAsia="zh-CN"/>
        </w:rPr>
      </w:pPr>
      <w:r>
        <w:rPr>
          <w:rFonts w:hint="eastAsia"/>
          <w:lang w:eastAsia="zh-CN"/>
        </w:rPr>
        <w:t>第10章：报告结论</w:t>
      </w:r>
    </w:p>
    <w:p>
      <w:pPr>
        <w:pStyle w:val="145"/>
        <w:rPr>
          <w:rFonts w:hint="eastAsia"/>
          <w:lang w:eastAsia="zh-CN"/>
        </w:rPr>
      </w:pPr>
      <w:bookmarkStart w:id="14" w:name="_GoBack"/>
      <w:bookmarkEnd w:id="14"/>
    </w:p>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altName w:val="Segoe Print"/>
    <w:panose1 w:val="02040602050305030304"/>
    <w:charset w:val="00"/>
    <w:family w:val="roman"/>
    <w:pitch w:val="default"/>
    <w:sig w:usb0="00000000" w:usb1="00000000" w:usb2="00000000" w:usb3="00000000" w:csb0="2000009F" w:csb1="DFD70000"/>
  </w:font>
  <w:font w:name="Cambria">
    <w:panose1 w:val="02040503050406030204"/>
    <w:charset w:val="00"/>
    <w:family w:val="roman"/>
    <w:pitch w:val="default"/>
    <w:sig w:usb0="E00006FF" w:usb1="420024FF" w:usb2="02000000" w:usb3="00000000" w:csb0="200001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entury Gothic">
    <w:altName w:val="Yu Gothic UI"/>
    <w:panose1 w:val="020B0502020202020204"/>
    <w:charset w:val="00"/>
    <w:family w:val="swiss"/>
    <w:pitch w:val="default"/>
    <w:sig w:usb0="00000000" w:usb1="00000000" w:usb2="00000000" w:usb3="00000000" w:csb0="2000009F" w:csb1="DFD70000"/>
  </w:font>
  <w:font w:name="Yu Gothic UI">
    <w:panose1 w:val="020B0500000000000000"/>
    <w:charset w:val="80"/>
    <w:family w:val="auto"/>
    <w:pitch w:val="default"/>
    <w:sig w:usb0="E00002FF" w:usb1="2AC7FDFF" w:usb2="00000016" w:usb3="00000000" w:csb0="2002009F" w:csb1="00000000"/>
  </w:font>
  <w:font w:name="Segoe Print">
    <w:panose1 w:val="02000600000000000000"/>
    <w:charset w:val="00"/>
    <w:family w:val="auto"/>
    <w:pitch w:val="default"/>
    <w:sig w:usb0="0000028F" w:usb1="00000000" w:usb2="00000000" w:usb3="00000000" w:csb0="2000009F" w:csb1="4701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1032" o:spt="75" type="#_x0000_t75" style="position:absolute;left:0pt;height:238.85pt;width:481.85pt;mso-position-horizontal:center;mso-position-horizontal-relative:margin;mso-position-vertical:center;mso-position-vertical-relative:margin;z-index:-25165209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1031" o:spt="75" type="#_x0000_t75" style="position:absolute;left:0pt;height:238.85pt;width:481.85pt;mso-position-horizontal:center;mso-position-horizontal-relative:margin;mso-position-vertical:center;mso-position-vertical-relative:margin;z-index:-251653120;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OTY1YzZkMmU4NWY4NWNmYzc1OWZjYTMyZjg1NjQ0NDY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4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20E"/>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3AF"/>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212"/>
    <w:rsid w:val="00BF55BD"/>
    <w:rsid w:val="00BF5880"/>
    <w:rsid w:val="00BF5B3C"/>
    <w:rsid w:val="00BF5C03"/>
    <w:rsid w:val="00BF5E54"/>
    <w:rsid w:val="00BF5E6B"/>
    <w:rsid w:val="00BF5E7D"/>
    <w:rsid w:val="00BF5EEE"/>
    <w:rsid w:val="00BF6054"/>
    <w:rsid w:val="00BF60BC"/>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071357A8"/>
    <w:rsid w:val="1D7278C1"/>
    <w:rsid w:val="2DB20569"/>
    <w:rsid w:val="44B274A5"/>
    <w:rsid w:val="4BB370B6"/>
    <w:rsid w:val="50EC3E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unhideWhenUsed/>
    <w:qFormat/>
    <w:uiPriority w:val="39"/>
    <w:pPr>
      <w:ind w:left="2520" w:leftChars="1200"/>
    </w:pPr>
  </w:style>
  <w:style w:type="paragraph" w:styleId="11">
    <w:name w:val="Document Map"/>
    <w:basedOn w:val="1"/>
    <w:link w:val="91"/>
    <w:qFormat/>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qFormat/>
    <w:uiPriority w:val="1"/>
    <w:pPr>
      <w:jc w:val="left"/>
    </w:pPr>
    <w:rPr>
      <w:rFonts w:eastAsia="Arial" w:cs="Arial"/>
      <w:kern w:val="0"/>
      <w:sz w:val="53"/>
      <w:szCs w:val="53"/>
      <w:lang w:eastAsia="en-US"/>
    </w:rPr>
  </w:style>
  <w:style w:type="paragraph" w:styleId="14">
    <w:name w:val="toc 5"/>
    <w:basedOn w:val="1"/>
    <w:next w:val="1"/>
    <w:unhideWhenUsed/>
    <w:qFormat/>
    <w:uiPriority w:val="39"/>
    <w:pPr>
      <w:ind w:left="1680" w:leftChars="800"/>
    </w:pPr>
  </w:style>
  <w:style w:type="paragraph" w:styleId="15">
    <w:name w:val="toc 3"/>
    <w:basedOn w:val="1"/>
    <w:next w:val="1"/>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qFormat/>
    <w:uiPriority w:val="0"/>
    <w:rPr>
      <w:rFonts w:ascii="宋体" w:hAnsi="Courier New" w:cs="Courier New"/>
    </w:rPr>
  </w:style>
  <w:style w:type="paragraph" w:styleId="17">
    <w:name w:val="toc 8"/>
    <w:basedOn w:val="1"/>
    <w:next w:val="1"/>
    <w:unhideWhenUsed/>
    <w:qFormat/>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qFormat/>
    <w:uiPriority w:val="99"/>
    <w:rPr>
      <w:rFonts w:cs="Arial"/>
      <w:kern w:val="0"/>
      <w:sz w:val="18"/>
      <w:szCs w:val="18"/>
      <w:lang w:eastAsia="en-US"/>
    </w:rPr>
  </w:style>
  <w:style w:type="paragraph" w:styleId="21">
    <w:name w:val="footer"/>
    <w:basedOn w:val="1"/>
    <w:link w:val="74"/>
    <w:unhideWhenUsed/>
    <w:qFormat/>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unhideWhenUsed/>
    <w:qFormat/>
    <w:uiPriority w:val="39"/>
  </w:style>
  <w:style w:type="paragraph" w:styleId="28">
    <w:name w:val="table of figures"/>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unhideWhenUsed/>
    <w:qFormat/>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qFormat/>
    <w:uiPriority w:val="0"/>
    <w:rPr>
      <w:i/>
      <w:iCs/>
    </w:rPr>
  </w:style>
  <w:style w:type="character" w:styleId="71">
    <w:name w:val="Hyperlink"/>
    <w:unhideWhenUsed/>
    <w:qFormat/>
    <w:uiPriority w:val="99"/>
    <w:rPr>
      <w:color w:val="0000FF"/>
      <w:u w:val="single"/>
    </w:rPr>
  </w:style>
  <w:style w:type="character" w:styleId="72">
    <w:name w:val="annotation reference"/>
    <w:qFormat/>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qFormat/>
    <w:uiPriority w:val="99"/>
    <w:rPr>
      <w:sz w:val="18"/>
      <w:szCs w:val="18"/>
    </w:rPr>
  </w:style>
  <w:style w:type="character" w:customStyle="1" w:styleId="75">
    <w:name w:val="标题 1 字符"/>
    <w:basedOn w:val="67"/>
    <w:qFormat/>
    <w:uiPriority w:val="9"/>
    <w:rPr>
      <w:rFonts w:ascii="Times New Roman" w:hAnsi="Times New Roman" w:eastAsia="Times New Roman" w:cs="Times New Roman"/>
      <w:b/>
      <w:bCs/>
      <w:kern w:val="44"/>
      <w:sz w:val="44"/>
      <w:szCs w:val="44"/>
    </w:rPr>
  </w:style>
  <w:style w:type="character" w:customStyle="1" w:styleId="76">
    <w:name w:val="标题 2 字符"/>
    <w:basedOn w:val="67"/>
    <w:qFormat/>
    <w:uiPriority w:val="9"/>
    <w:rPr>
      <w:rFonts w:asciiTheme="majorHAnsi" w:hAnsiTheme="majorHAnsi" w:eastAsiaTheme="majorEastAsia" w:cstheme="majorBidi"/>
      <w:b/>
      <w:bCs/>
      <w:sz w:val="32"/>
      <w:szCs w:val="32"/>
    </w:rPr>
  </w:style>
  <w:style w:type="character" w:customStyle="1" w:styleId="77">
    <w:name w:val="标题 3 字符"/>
    <w:basedOn w:val="67"/>
    <w:qFormat/>
    <w:uiPriority w:val="9"/>
    <w:rPr>
      <w:rFonts w:ascii="Times New Roman" w:hAnsi="Times New Roman" w:eastAsia="Times New Roman" w:cs="Times New Roman"/>
      <w:b/>
      <w:bCs/>
      <w:sz w:val="32"/>
      <w:szCs w:val="32"/>
    </w:rPr>
  </w:style>
  <w:style w:type="character" w:customStyle="1" w:styleId="78">
    <w:name w:val="标题 4 字符"/>
    <w:basedOn w:val="67"/>
    <w:qFormat/>
    <w:uiPriority w:val="9"/>
    <w:rPr>
      <w:rFonts w:asciiTheme="majorHAnsi" w:hAnsiTheme="majorHAnsi" w:eastAsiaTheme="majorEastAsia" w:cstheme="majorBidi"/>
      <w:b/>
      <w:bCs/>
      <w:sz w:val="28"/>
      <w:szCs w:val="28"/>
    </w:rPr>
  </w:style>
  <w:style w:type="character" w:customStyle="1" w:styleId="79">
    <w:name w:val="标题 5 字符"/>
    <w:basedOn w:val="67"/>
    <w:qFormat/>
    <w:uiPriority w:val="9"/>
    <w:rPr>
      <w:rFonts w:ascii="Times New Roman" w:hAnsi="Times New Roman" w:eastAsia="Times New Roman" w:cs="Times New Roman"/>
      <w:b/>
      <w:bCs/>
      <w:sz w:val="28"/>
      <w:szCs w:val="28"/>
    </w:rPr>
  </w:style>
  <w:style w:type="character" w:customStyle="1" w:styleId="80">
    <w:name w:val="标题 6 字符"/>
    <w:basedOn w:val="67"/>
    <w:qFormat/>
    <w:uiPriority w:val="9"/>
    <w:rPr>
      <w:rFonts w:asciiTheme="majorHAnsi" w:hAnsiTheme="majorHAnsi" w:eastAsiaTheme="majorEastAsia" w:cstheme="majorBidi"/>
      <w:b/>
      <w:bCs/>
      <w:sz w:val="24"/>
      <w:szCs w:val="24"/>
    </w:rPr>
  </w:style>
  <w:style w:type="character" w:customStyle="1" w:styleId="81">
    <w:name w:val="标题 1 字符1"/>
    <w:link w:val="2"/>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qFormat/>
    <w:uiPriority w:val="9"/>
    <w:rPr>
      <w:rFonts w:ascii="Frutiger" w:hAnsi="Frutiger" w:eastAsia="宋体"/>
      <w:b/>
      <w:bCs/>
      <w:sz w:val="26"/>
      <w:szCs w:val="26"/>
      <w:lang w:val="zh-CN" w:eastAsia="zh-CN"/>
    </w:rPr>
  </w:style>
  <w:style w:type="character" w:customStyle="1" w:styleId="85">
    <w:name w:val="标题 5 字符1"/>
    <w:link w:val="6"/>
    <w:qFormat/>
    <w:uiPriority w:val="9"/>
    <w:rPr>
      <w:rFonts w:ascii="Frutiger" w:hAnsi="Frutiger" w:eastAsia="宋体"/>
      <w:b/>
      <w:bCs/>
      <w:sz w:val="28"/>
      <w:szCs w:val="28"/>
    </w:rPr>
  </w:style>
  <w:style w:type="character" w:customStyle="1" w:styleId="86">
    <w:name w:val="标题 6 字符1"/>
    <w:link w:val="7"/>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89">
    <w:name w:val="页眉 Char"/>
    <w:qFormat/>
    <w:uiPriority w:val="0"/>
    <w:rPr>
      <w:rFonts w:ascii="Arial Unicode MS" w:hAnsi="Arial Unicode MS" w:eastAsia="微软雅黑"/>
      <w:kern w:val="2"/>
      <w:sz w:val="18"/>
      <w:szCs w:val="22"/>
    </w:rPr>
  </w:style>
  <w:style w:type="character" w:customStyle="1" w:styleId="90">
    <w:name w:val="页脚 Char"/>
    <w:qFormat/>
    <w:uiPriority w:val="99"/>
    <w:rPr>
      <w:rFonts w:ascii="Arial Unicode MS" w:hAnsi="Arial Unicode MS" w:eastAsia="微软雅黑"/>
      <w:kern w:val="2"/>
      <w:sz w:val="18"/>
      <w:szCs w:val="22"/>
    </w:rPr>
  </w:style>
  <w:style w:type="character" w:customStyle="1" w:styleId="91">
    <w:name w:val="文档结构图 字符1"/>
    <w:link w:val="11"/>
    <w:qFormat/>
    <w:uiPriority w:val="0"/>
    <w:rPr>
      <w:rFonts w:eastAsia="Times New Roman"/>
      <w:szCs w:val="21"/>
      <w:shd w:val="clear" w:color="auto" w:fill="000080"/>
    </w:rPr>
  </w:style>
  <w:style w:type="character" w:customStyle="1" w:styleId="92">
    <w:name w:val="文档结构图 字符"/>
    <w:basedOn w:val="67"/>
    <w:qFormat/>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qFormat/>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qFormat/>
    <w:uiPriority w:val="10"/>
    <w:rPr>
      <w:rFonts w:asciiTheme="majorHAnsi" w:hAnsiTheme="majorHAnsi" w:eastAsiaTheme="majorEastAsia" w:cstheme="majorBidi"/>
      <w:b/>
      <w:bCs/>
      <w:sz w:val="32"/>
      <w:szCs w:val="32"/>
    </w:rPr>
  </w:style>
  <w:style w:type="character" w:customStyle="1" w:styleId="98">
    <w:name w:val="标题 字符1"/>
    <w:link w:val="32"/>
    <w:qFormat/>
    <w:uiPriority w:val="10"/>
    <w:rPr>
      <w:rFonts w:ascii="Cambria" w:hAnsi="Cambria" w:eastAsia="宋体" w:cs="Times New Roman"/>
      <w:b/>
      <w:bCs/>
      <w:sz w:val="32"/>
      <w:szCs w:val="32"/>
    </w:rPr>
  </w:style>
  <w:style w:type="paragraph" w:customStyle="1" w:styleId="9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qFormat/>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字符1"/>
    <w:link w:val="20"/>
    <w:qFormat/>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qFormat/>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qFormat/>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qFormat/>
    <w:uiPriority w:val="99"/>
    <w:rPr>
      <w:rFonts w:ascii="Times New Roman" w:hAnsi="Times New Roman" w:eastAsia="Times New Roman" w:cs="Times New Roman"/>
      <w:szCs w:val="21"/>
    </w:rPr>
  </w:style>
  <w:style w:type="character" w:customStyle="1" w:styleId="112">
    <w:name w:val="正文文本 字符1"/>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qFormat/>
    <w:uiPriority w:val="0"/>
    <w:pPr>
      <w:ind w:left="842" w:hanging="422"/>
    </w:pPr>
    <w:rPr>
      <w:rFonts w:cs="宋体"/>
    </w:rPr>
  </w:style>
  <w:style w:type="paragraph" w:customStyle="1" w:styleId="124">
    <w:name w:val="样式 图表目录 + 左侧:  2 字符 悬挂缩进: 2 字符1"/>
    <w:basedOn w:val="28"/>
    <w:qFormat/>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qFormat/>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240" w:after="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imes New Roman" w:hAnsi="Times New Roman" w:eastAsia="宋体"/>
      <w:color w:val="0D0D0D" w:themeColor="text1" w:themeTint="F2"/>
      <w:kern w:val="0"/>
      <w:sz w:val="22"/>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TOC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hart" Target="charts/chart1.xml"/><Relationship Id="rId8" Type="http://schemas.openxmlformats.org/officeDocument/2006/relationships/image" Target="media/image3.png"/><Relationship Id="rId7" Type="http://schemas.openxmlformats.org/officeDocument/2006/relationships/image" Target="media/image2.jpeg"/><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chart" Target="charts/chart2.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4" Type="http://schemas.microsoft.com/office/2011/relationships/chartColorStyle" Target="colors1.xml"/><Relationship Id="rId3" Type="http://schemas.microsoft.com/office/2011/relationships/chartStyle" Target="style1.xml"/><Relationship Id="rId2" Type="http://schemas.openxmlformats.org/officeDocument/2006/relationships/chartUserShapes" Target="../drawings/drawing1.xml"/><Relationship Id="rId1" Type="http://schemas.openxmlformats.org/officeDocument/2006/relationships/oleObject" Target="file:///C:\Users\admin\Documents\tencent%20files\2537702024\filerecv\&#35266;&#28857;&#25968;&#25454;&#22270;&#34920;&#27169;&#26495;-&#20840;&#29699;20230927%20&#23454;&#20064;&#21516;&#23398;(1).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C:\Users\admin\Documents\tencent%20files\2537702024\filerecv\&#35266;&#28857;&#25968;&#25454;&#22270;&#34920;&#27169;&#26495;-&#20840;&#29699;20230927%20&#23454;&#20064;&#21516;&#23398;(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100" b="0" i="0" u="none" strike="noStrike" kern="1200" spc="0" baseline="0">
                <a:solidFill>
                  <a:schemeClr val="tx1">
                    <a:lumMod val="65000"/>
                    <a:lumOff val="35000"/>
                  </a:schemeClr>
                </a:solidFill>
                <a:latin typeface="+mn-lt"/>
                <a:ea typeface="+mn-ea"/>
                <a:cs typeface="+mn-cs"/>
              </a:defRPr>
            </a:pPr>
            <a:r>
              <a:rPr altLang="en-US" sz="1100">
                <a:latin typeface="Book Antiqua" panose="02040602050305030304" pitchFamily="1" charset="0"/>
              </a:rPr>
              <a:t>中国市场份额（百万元）</a:t>
            </a:r>
            <a:endParaRPr lang="en-US" altLang="zh-CN" sz="1100">
              <a:latin typeface="Book Antiqua" panose="02040602050305030304" pitchFamily="1" charset="0"/>
            </a:endParaRPr>
          </a:p>
        </c:rich>
      </c:tx>
      <c:layout>
        <c:manualLayout>
          <c:xMode val="edge"/>
          <c:yMode val="edge"/>
          <c:x val="0.369168953351627"/>
          <c:y val="0.0213826032800498"/>
        </c:manualLayout>
      </c:layout>
      <c:overlay val="0"/>
      <c:spPr>
        <a:noFill/>
        <a:ln>
          <a:noFill/>
        </a:ln>
        <a:effectLst/>
      </c:spPr>
    </c:title>
    <c:autoTitleDeleted val="0"/>
    <c:plotArea>
      <c:layout>
        <c:manualLayout>
          <c:layoutTarget val="inner"/>
          <c:xMode val="edge"/>
          <c:yMode val="edge"/>
          <c:x val="0.0597760258625278"/>
          <c:y val="0.113633506535269"/>
          <c:w val="0.937283950617284"/>
          <c:h val="0.793030392156863"/>
        </c:manualLayout>
      </c:layout>
      <c:barChart>
        <c:barDir val="col"/>
        <c:grouping val="clustered"/>
        <c:varyColors val="0"/>
        <c:ser>
          <c:idx val="0"/>
          <c:order val="0"/>
          <c:tx>
            <c:strRef>
              <c:f>'[观点数据图表模板-全球20230927 实习同学(1).xlsx]全球总体'!$A$22</c:f>
              <c:strCache>
                <c:ptCount val="1"/>
                <c:pt idx="0">
                  <c:v>Global Market Size ($ Mn)</c:v>
                </c:pt>
              </c:strCache>
            </c:strRef>
          </c:tx>
          <c:spPr>
            <a:solidFill>
              <a:srgbClr val="002060"/>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'[观点数据图表模板-全球20230927 实习同学(1).xlsx]全球总体'!$B$21:$D$21</c:f>
              <c:numCache>
                <c:formatCode>General</c:formatCode>
                <c:ptCount val="3"/>
                <c:pt idx="0">
                  <c:v>2018</c:v>
                </c:pt>
                <c:pt idx="1">
                  <c:v>2022</c:v>
                </c:pt>
                <c:pt idx="2">
                  <c:v>2029</c:v>
                </c:pt>
              </c:numCache>
            </c:numRef>
          </c:cat>
          <c:val>
            <c:numRef>
              <c:f>'[观点数据图表模板-全球20230927 实习同学(1).xlsx]全球总体'!$B$22:$D$22</c:f>
              <c:numCache>
                <c:formatCode>#,##0_ </c:formatCode>
                <c:ptCount val="3"/>
                <c:pt idx="0">
                  <c:v>152.21</c:v>
                </c:pt>
                <c:pt idx="1">
                  <c:v>224.5</c:v>
                </c:pt>
                <c:pt idx="2">
                  <c:v>416.58</c:v>
                </c:pt>
              </c:numCache>
            </c:numRef>
          </c:val>
        </c:ser>
        <c:dLbls>
          <c:showLegendKey val="0"/>
          <c:showVal val="1"/>
          <c:showCatName val="0"/>
          <c:showSerName val="0"/>
          <c:showPercent val="0"/>
          <c:showBubbleSize val="0"/>
        </c:dLbls>
        <c:gapWidth val="219"/>
        <c:overlap val="-27"/>
        <c:axId val="719571343"/>
        <c:axId val="481370671"/>
      </c:barChart>
      <c:catAx>
        <c:axId val="71957134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81370671"/>
        <c:crosses val="autoZero"/>
        <c:auto val="1"/>
        <c:lblAlgn val="ctr"/>
        <c:lblOffset val="100"/>
        <c:noMultiLvlLbl val="0"/>
      </c:catAx>
      <c:valAx>
        <c:axId val="481370671"/>
        <c:scaling>
          <c:orientation val="minMax"/>
        </c:scaling>
        <c:delete val="0"/>
        <c:axPos val="l"/>
        <c:majorGridlines>
          <c:spPr>
            <a:ln w="9525" cap="flat" cmpd="sng" algn="ctr">
              <a:noFill/>
              <a:round/>
            </a:ln>
            <a:effectLst/>
          </c:spPr>
        </c:majorGridlines>
        <c:numFmt formatCode="#,##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1957134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050" b="0" i="0" u="none" strike="noStrike" kern="1200" spc="0" baseline="0">
                <a:solidFill>
                  <a:schemeClr val="tx1">
                    <a:lumMod val="65000"/>
                    <a:lumOff val="35000"/>
                  </a:schemeClr>
                </a:solidFill>
                <a:latin typeface="Book Antiqua" panose="02040602050305030304" pitchFamily="1" charset="0"/>
                <a:ea typeface="+mn-ea"/>
                <a:cs typeface="+mn-cs"/>
              </a:defRPr>
            </a:pPr>
            <a:r>
              <a:rPr lang="zh-CN" altLang="en-US" sz="1050">
                <a:latin typeface="Book Antiqua" panose="02040602050305030304" pitchFamily="1" charset="0"/>
              </a:rPr>
              <a:t>中国市场主要企业排名</a:t>
            </a:r>
            <a:endParaRPr lang="en-US" altLang="zh-CN" sz="1050">
              <a:latin typeface="Book Antiqua" panose="02040602050305030304" pitchFamily="1" charset="0"/>
            </a:endParaRPr>
          </a:p>
        </c:rich>
      </c:tx>
      <c:layout>
        <c:manualLayout>
          <c:xMode val="edge"/>
          <c:yMode val="edge"/>
          <c:x val="0.338270778652668"/>
          <c:y val="0.0346320818516983"/>
        </c:manualLayout>
      </c:layout>
      <c:overlay val="0"/>
      <c:spPr>
        <a:noFill/>
        <a:ln>
          <a:noFill/>
        </a:ln>
        <a:effectLst/>
      </c:spPr>
    </c:title>
    <c:autoTitleDeleted val="0"/>
    <c:plotArea>
      <c:layout>
        <c:manualLayout>
          <c:layoutTarget val="inner"/>
          <c:xMode val="edge"/>
          <c:yMode val="edge"/>
          <c:x val="0.460238937304991"/>
          <c:y val="0.100880357916005"/>
          <c:w val="0.535611111111111"/>
          <c:h val="0.872131620724491"/>
        </c:manualLayout>
      </c:layout>
      <c:barChart>
        <c:barDir val="bar"/>
        <c:grouping val="clustered"/>
        <c:varyColors val="1"/>
        <c:ser>
          <c:idx val="0"/>
          <c:order val="0"/>
          <c:tx>
            <c:strRef>
              <c:f>'[观点数据图表模板-全球20230927 实习同学(1).xlsx]企业排序'!$G$1</c:f>
              <c:strCache>
                <c:ptCount val="1"/>
                <c:pt idx="0">
                  <c:v>2022</c:v>
                </c:pt>
              </c:strCache>
            </c:strRef>
          </c:tx>
          <c:spPr/>
          <c:invertIfNegative val="0"/>
          <c:dPt>
            <c:idx val="0"/>
            <c:invertIfNegative val="0"/>
            <c:bubble3D val="0"/>
            <c:spPr>
              <a:solidFill>
                <a:schemeClr val="accent1"/>
              </a:solidFill>
              <a:ln>
                <a:noFill/>
              </a:ln>
              <a:effectLst/>
            </c:spPr>
          </c:dPt>
          <c:dPt>
            <c:idx val="1"/>
            <c:invertIfNegative val="0"/>
            <c:bubble3D val="0"/>
            <c:spPr>
              <a:solidFill>
                <a:schemeClr val="accent2"/>
              </a:solidFill>
              <a:ln>
                <a:noFill/>
              </a:ln>
              <a:effectLst/>
            </c:spPr>
          </c:dPt>
          <c:dPt>
            <c:idx val="2"/>
            <c:invertIfNegative val="0"/>
            <c:bubble3D val="0"/>
            <c:spPr>
              <a:solidFill>
                <a:schemeClr val="accent3"/>
              </a:solidFill>
              <a:ln>
                <a:noFill/>
              </a:ln>
              <a:effectLst/>
            </c:spPr>
          </c:dPt>
          <c:dPt>
            <c:idx val="3"/>
            <c:invertIfNegative val="0"/>
            <c:bubble3D val="0"/>
            <c:spPr>
              <a:solidFill>
                <a:schemeClr val="accent4"/>
              </a:solidFill>
              <a:ln>
                <a:noFill/>
              </a:ln>
              <a:effectLst/>
            </c:spPr>
          </c:dPt>
          <c:dPt>
            <c:idx val="4"/>
            <c:invertIfNegative val="0"/>
            <c:bubble3D val="0"/>
            <c:spPr>
              <a:solidFill>
                <a:schemeClr val="accent5"/>
              </a:solidFill>
              <a:ln>
                <a:noFill/>
              </a:ln>
              <a:effectLst/>
            </c:spPr>
          </c:dPt>
          <c:dPt>
            <c:idx val="5"/>
            <c:invertIfNegative val="0"/>
            <c:bubble3D val="0"/>
            <c:spPr>
              <a:solidFill>
                <a:schemeClr val="accent6"/>
              </a:solidFill>
              <a:ln>
                <a:noFill/>
              </a:ln>
              <a:effectLst/>
            </c:spPr>
          </c:dPt>
          <c:dPt>
            <c:idx val="6"/>
            <c:invertIfNegative val="0"/>
            <c:bubble3D val="0"/>
            <c:spPr>
              <a:solidFill>
                <a:schemeClr val="accent1">
                  <a:lumMod val="60000"/>
                </a:schemeClr>
              </a:solidFill>
              <a:ln>
                <a:noFill/>
              </a:ln>
              <a:effectLst/>
            </c:spPr>
          </c:dPt>
          <c:dPt>
            <c:idx val="7"/>
            <c:invertIfNegative val="0"/>
            <c:bubble3D val="0"/>
            <c:spPr>
              <a:solidFill>
                <a:schemeClr val="accent2">
                  <a:lumMod val="60000"/>
                </a:schemeClr>
              </a:solidFill>
              <a:ln>
                <a:noFill/>
              </a:ln>
              <a:effectLst/>
            </c:spPr>
          </c:dPt>
          <c:dPt>
            <c:idx val="8"/>
            <c:invertIfNegative val="0"/>
            <c:bubble3D val="0"/>
            <c:spPr>
              <a:solidFill>
                <a:schemeClr val="accent3">
                  <a:lumMod val="60000"/>
                </a:schemeClr>
              </a:solidFill>
              <a:ln>
                <a:noFill/>
              </a:ln>
              <a:effectLst/>
            </c:spPr>
          </c:dPt>
          <c:dPt>
            <c:idx val="9"/>
            <c:invertIfNegative val="0"/>
            <c:bubble3D val="0"/>
            <c:spPr>
              <a:solidFill>
                <a:schemeClr val="accent4">
                  <a:lumMod val="60000"/>
                </a:schemeClr>
              </a:solidFill>
              <a:ln>
                <a:noFill/>
              </a:ln>
              <a:effectLst/>
            </c:spPr>
          </c:dPt>
          <c:dLbls>
            <c:delete val="1"/>
          </c:dLbls>
          <c:cat>
            <c:strRef>
              <c:f>'[观点数据图表模板-全球20230927 实习同学(1).xlsx]企业排序'!$F$2:$F$11</c:f>
              <c:strCache>
                <c:ptCount val="10"/>
                <c:pt idx="0">
                  <c:v>众鑫喉箍</c:v>
                </c:pt>
                <c:pt idx="1">
                  <c:v>诺成喉箍</c:v>
                </c:pt>
                <c:pt idx="2">
                  <c:v>新宇卡箍</c:v>
                </c:pt>
                <c:pt idx="3">
                  <c:v>恒威卡箍</c:v>
                </c:pt>
                <c:pt idx="4">
                  <c:v>东莞海统</c:v>
                </c:pt>
                <c:pt idx="5">
                  <c:v>凯诺实业</c:v>
                </c:pt>
                <c:pt idx="6">
                  <c:v>欧梯克</c:v>
                </c:pt>
                <c:pt idx="7">
                  <c:v>诺马集团</c:v>
                </c:pt>
                <c:pt idx="8">
                  <c:v>摩瑞</c:v>
                </c:pt>
                <c:pt idx="9">
                  <c:v>艾迪尔</c:v>
                </c:pt>
              </c:strCache>
            </c:strRef>
          </c:cat>
          <c:val>
            <c:numRef>
              <c:f>'[观点数据图表模板-全球20230927 实习同学(1).xlsx]企业排序'!$G$2:$G$11</c:f>
              <c:numCache>
                <c:formatCode>General</c:formatCode>
                <c:ptCount val="10"/>
                <c:pt idx="0">
                  <c:v>2.72</c:v>
                </c:pt>
                <c:pt idx="1">
                  <c:v>3.34</c:v>
                </c:pt>
                <c:pt idx="2">
                  <c:v>4.45</c:v>
                </c:pt>
                <c:pt idx="3">
                  <c:v>5.23</c:v>
                </c:pt>
                <c:pt idx="4">
                  <c:v>6.56</c:v>
                </c:pt>
                <c:pt idx="5">
                  <c:v>14.73</c:v>
                </c:pt>
                <c:pt idx="6">
                  <c:v>17.77</c:v>
                </c:pt>
                <c:pt idx="7">
                  <c:v>20.76</c:v>
                </c:pt>
                <c:pt idx="8">
                  <c:v>27.61</c:v>
                </c:pt>
                <c:pt idx="9">
                  <c:v>41.95</c:v>
                </c:pt>
              </c:numCache>
            </c:numRef>
          </c:val>
        </c:ser>
        <c:dLbls>
          <c:showLegendKey val="0"/>
          <c:showVal val="0"/>
          <c:showCatName val="0"/>
          <c:showSerName val="0"/>
          <c:showPercent val="0"/>
          <c:showBubbleSize val="0"/>
        </c:dLbls>
        <c:gapWidth val="75"/>
        <c:axId val="1272139183"/>
        <c:axId val="1326546959"/>
      </c:barChart>
      <c:catAx>
        <c:axId val="1272139183"/>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326546959"/>
        <c:crosses val="autoZero"/>
        <c:auto val="1"/>
        <c:lblAlgn val="ctr"/>
        <c:lblOffset val="100"/>
        <c:noMultiLvlLbl val="0"/>
      </c:catAx>
      <c:valAx>
        <c:axId val="1326546959"/>
        <c:scaling>
          <c:orientation val="minMax"/>
        </c:scaling>
        <c:delete val="0"/>
        <c:axPos val="b"/>
        <c:majorGridlines>
          <c:spPr>
            <a:ln w="9525" cap="flat" cmpd="sng" algn="ctr">
              <a:noFill/>
              <a:round/>
            </a:ln>
            <a:effectLst/>
          </c:spPr>
        </c:majorGridlines>
        <c:numFmt formatCode="General"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27213918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0.571344570756566</cdr:x>
      <cdr:y>0.120199294166494</cdr:y>
    </cdr:from>
    <cdr:to>
      <cdr:x>0.796354370834967</cdr:x>
      <cdr:y>0.471247664521486</cdr:y>
    </cdr:to>
    <cdr:grpSp>
      <cdr:nvGrpSpPr>
        <cdr:cNvPr id="2" name="组合 1"/>
        <cdr:cNvGrpSpPr/>
      </cdr:nvGrpSpPr>
      <cdr:grpSpPr xmlns:a="http://schemas.openxmlformats.org/drawingml/2006/main">
        <a:xfrm rot="0">
          <a:off x="3535886" y="352934"/>
          <a:ext cx="1392520" cy="1030762"/>
          <a:chOff x="2888681" y="1418644"/>
          <a:chExt cx="766197" cy="628058"/>
        </a:xfrm>
        <a:solidFill>
          <a:srgbClr val="FFC000"/>
        </a:solidFill>
      </cdr:grpSpPr>
      <cdr:cxnSp>
        <cdr:nvCxnSpPr>
          <cdr:cNvPr id="3" name="直接箭头连接符 2"/>
          <cdr:cNvCxnSpPr/>
        </cdr:nvCxnSpPr>
        <cdr:spPr xmlns:a="http://schemas.openxmlformats.org/drawingml/2006/main">
          <a:xfrm xmlns:a="http://schemas.openxmlformats.org/drawingml/2006/main" flipV="1">
            <a:off x="2888681" y="1418644"/>
            <a:ext cx="766197" cy="628058"/>
          </a:xfrm>
          <a:prstGeom xmlns:a="http://schemas.openxmlformats.org/drawingml/2006/main" prst="straightConnector1">
            <a:avLst/>
          </a:prstGeom>
          <a:grpFill/>
          <a:ln w="15875">
            <a:solidFill>
              <a:srgbClr val="002060"/>
            </a:solidFill>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cdr:nvSpPr>
          <cdr:cNvPr id="4" name="椭圆 3"/>
          <cdr:cNvSpPr/>
        </cdr:nvSpPr>
        <cdr:spPr xmlns:a="http://schemas.openxmlformats.org/drawingml/2006/main">
          <a:xfrm xmlns:a="http://schemas.openxmlformats.org/drawingml/2006/main" rot="19617595">
            <a:off x="3067883" y="1601007"/>
            <a:ext cx="349060" cy="290444"/>
          </a:xfrm>
          <a:prstGeom xmlns:a="http://schemas.openxmlformats.org/drawingml/2006/main" prst="ellipse">
            <a:avLst/>
          </a:prstGeom>
          <a:grp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r>
              <a:rPr lang="en-US" altLang="zh-CN" sz="800" baseline="0">
                <a:solidFill>
                  <a:sysClr val="windowText" lastClr="000000"/>
                </a:solidFill>
                <a:latin typeface="Book Antiqua" panose="02040602050305030304" pitchFamily="1" charset="0"/>
                <a:ea typeface="宋体" panose="02010600030101010101" charset="-122"/>
              </a:rPr>
              <a:t>8.8  %</a:t>
            </a:r>
            <a:endParaRPr lang="zh-CN" sz="800" baseline="0">
              <a:solidFill>
                <a:sysClr val="windowText" lastClr="000000"/>
              </a:solidFill>
              <a:latin typeface="Book Antiqua" panose="02040602050305030304" pitchFamily="1" charset="0"/>
              <a:ea typeface="宋体" panose="02010600030101010101" charset="-122"/>
            </a:endParaRPr>
          </a:p>
        </cdr:txBody>
      </cdr:sp>
    </cdr:grpSp>
  </cdr:relSizeAnchor>
  <cdr:relSizeAnchor xmlns:cdr="http://schemas.openxmlformats.org/drawingml/2006/chartDrawing">
    <cdr:from>
      <cdr:x>0.295668365346923</cdr:x>
      <cdr:y>0.34440523147187</cdr:y>
    </cdr:from>
    <cdr:to>
      <cdr:x>0.459329674637397</cdr:x>
      <cdr:y>0.688602864853643</cdr:y>
    </cdr:to>
    <cdr:grpSp>
      <cdr:nvGrpSpPr>
        <cdr:cNvPr id="5" name="组合 4"/>
        <cdr:cNvGrpSpPr/>
      </cdr:nvGrpSpPr>
      <cdr:grpSpPr xmlns:a="http://schemas.openxmlformats.org/drawingml/2006/main">
        <a:xfrm rot="1723322">
          <a:off x="1829806" y="1011256"/>
          <a:ext cx="1012852" cy="1010647"/>
          <a:chOff x="3951047" y="2310839"/>
          <a:chExt cx="470959" cy="3215138"/>
        </a:xfrm>
      </cdr:grpSpPr>
      <cdr:cxnSp>
        <cdr:nvCxnSpPr>
          <cdr:cNvPr id="6" name="直接箭头连接符 5"/>
          <cdr:cNvCxnSpPr/>
        </cdr:nvCxnSpPr>
        <cdr:spPr xmlns:a="http://schemas.openxmlformats.org/drawingml/2006/main">
          <a:xfrm xmlns:a="http://schemas.openxmlformats.org/drawingml/2006/main" flipV="1">
            <a:off x="3951047" y="2310839"/>
            <a:ext cx="470959" cy="3215138"/>
          </a:xfrm>
          <a:prstGeom xmlns:a="http://schemas.openxmlformats.org/drawingml/2006/main" prst="straightConnector1">
            <a:avLst/>
          </a:prstGeom>
          <a:ln w="15875">
            <a:solidFill>
              <a:srgbClr val="002060"/>
            </a:solidFill>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cdr:nvSpPr>
          <cdr:cNvPr id="7" name="椭圆 6"/>
          <cdr:cNvSpPr/>
        </cdr:nvSpPr>
        <cdr:spPr xmlns:a="http://schemas.openxmlformats.org/drawingml/2006/main">
          <a:xfrm xmlns:a="http://schemas.openxmlformats.org/drawingml/2006/main" rot="19139997">
            <a:off x="4019294" y="3590689"/>
            <a:ext cx="302598" cy="1004488"/>
          </a:xfrm>
          <a:prstGeom xmlns:a="http://schemas.openxmlformats.org/drawingml/2006/main" prst="ellipse">
            <a:avLst/>
          </a:prstGeom>
          <a:solidFill>
            <a:srgbClr val="FFC000"/>
          </a:solid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r>
              <a:rPr lang="en-US" altLang="zh-CN" sz="800">
                <a:solidFill>
                  <a:sysClr val="windowText" lastClr="000000"/>
                </a:solidFill>
              </a:rPr>
              <a:t>10.2%</a:t>
            </a:r>
            <a:endParaRPr lang="en-US" altLang="zh-CN" sz="800">
              <a:solidFill>
                <a:sysClr val="windowText" lastClr="000000"/>
              </a:solidFill>
            </a:endParaRPr>
          </a:p>
        </cdr:txBody>
      </cdr:sp>
    </cdr:grp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32"/>
    <customShpInfo spid="_x0000_s1031"/>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19C77F-A8DE-416F-A2F8-FE3DCC1B32E5}">
  <ds:schemaRefs/>
</ds:datastoreItem>
</file>

<file path=docProps/app.xml><?xml version="1.0" encoding="utf-8"?>
<Properties xmlns="http://schemas.openxmlformats.org/officeDocument/2006/extended-properties" xmlns:vt="http://schemas.openxmlformats.org/officeDocument/2006/docPropsVTypes">
  <Template>Normal</Template>
  <Pages>4</Pages>
  <Words>131</Words>
  <Characters>751</Characters>
  <Lines>6</Lines>
  <Paragraphs>1</Paragraphs>
  <TotalTime>2</TotalTime>
  <ScaleCrop>false</ScaleCrop>
  <LinksUpToDate>false</LinksUpToDate>
  <CharactersWithSpaces>881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鼕鼕</cp:lastModifiedBy>
  <dcterms:modified xsi:type="dcterms:W3CDTF">2023-10-13T05:59:38Z</dcterms:modified>
  <cp:revision>787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369E27259BE644C2B00CD16A376AD8DA_13</vt:lpwstr>
  </property>
</Properties>
</file>