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style1.xml" ContentType="application/vnd.ms-office.chartstyle+xml"/>
  <Override PartName="/word/charts/style2.xml" ContentType="application/vnd.ms-office.chartstyle+xml"/>
  <Override PartName="/word/document.xml" ContentType="application/vnd.openxmlformats-officedocument.wordprocessingml.document.main+xml"/>
  <Override PartName="/word/drawings/drawing1.xml" ContentType="application/vnd.openxmlformats-officedocument.drawingml.chartshap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cs="Calibri"/>
        </w:rPr>
      </w:pPr>
      <w:bookmarkStart w:id="0" w:name="_Hlk23501351"/>
      <w:bookmarkStart w:id="1" w:name="OLE_LINK15"/>
      <w:bookmarkStart w:id="2" w:name="_Toc418070112"/>
      <w:bookmarkStart w:id="3" w:name="_Toc481801204"/>
      <w:bookmarkStart w:id="4" w:name="_Toc415143481"/>
      <w:bookmarkStart w:id="5" w:name="_Toc517262917"/>
      <w:bookmarkStart w:id="6" w:name="_Toc415818939"/>
      <w:bookmarkStart w:id="7" w:name="OLE_LINK39"/>
      <w:bookmarkStart w:id="8" w:name="OLE_LINK13"/>
      <w:bookmarkStart w:id="9" w:name="_Toc453597319"/>
      <w:bookmarkStart w:id="10" w:name="OLE_LINK24"/>
      <w:bookmarkStart w:id="11" w:name="_Toc438987549"/>
      <w:bookmarkStart w:id="12" w:name="OLE_LINK40"/>
      <w:bookmarkStart w:id="13" w:name="_Toc415142861"/>
      <w:r>
        <w:rPr>
          <w:rFonts w:cs="Calibri"/>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8863965</wp:posOffset>
                </wp:positionV>
                <wp:extent cx="5048250" cy="327660"/>
                <wp:effectExtent l="0" t="0" r="0" b="0"/>
                <wp:wrapNone/>
                <wp:docPr id="1438" name="Text Box 1438"/>
                <wp:cNvGraphicFramePr/>
                <a:graphic xmlns:a="http://schemas.openxmlformats.org/drawingml/2006/main">
                  <a:graphicData uri="http://schemas.microsoft.com/office/word/2010/wordprocessingShape">
                    <wps:wsp>
                      <wps:cNvSpPr txBox="1"/>
                      <wps:spPr>
                        <a:xfrm>
                          <a:off x="0" y="0"/>
                          <a:ext cx="5048250" cy="327804"/>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jc w:val="center"/>
                              <w:rPr>
                                <w:b/>
                                <w:color w:val="FFFFFF" w:themeColor="background1"/>
                                <w:szCs w:val="22"/>
                                <w14:textFill>
                                  <w14:solidFill>
                                    <w14:schemeClr w14:val="bg1"/>
                                  </w14:solidFill>
                                </w14:textFill>
                              </w:rPr>
                            </w:pPr>
                            <w:r>
                              <w:rPr>
                                <w:b/>
                                <w:szCs w:val="22"/>
                              </w:rPr>
                              <w:t>Copyright © QYResearch</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Text Box 1438" o:spid="_x0000_s1026" o:spt="202" type="#_x0000_t202" style="position:absolute;left:0pt;margin-top:697.95pt;height:25.8pt;width:397.5pt;mso-position-horizontal:center;mso-position-horizontal-relative:margin;z-index:251659264;mso-width-relative:page;mso-height-relative:page;" filled="f" stroked="f" coordsize="21600,21600" o:gfxdata="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eRDn/toAAAAKAQAADwAAAAAAAAABACAAAAAiAAAAZHJzL2Rvd25yZXYu&#10;eG1sUEsBAhQAFAAAAAgAh07iQMHwJl0yAgAAeQQAAA4AAAAAAAAAAQAgAAAAKQEAAGRycy9lMm9E&#10;b2MueG1sUEsFBgAAAAAGAAYAWQEAAM0FAAAAAA==&#10;">
                <v:fill on="f" focussize="0,0"/>
                <v:stroke on="f" weight="0.5pt"/>
                <v:imagedata o:title=""/>
                <o:lock v:ext="edit" aspectratio="f"/>
                <v:textbox>
                  <w:txbxContent>
                    <w:p>
                      <w:pPr>
                        <w:jc w:val="center"/>
                        <w:rPr>
                          <w:b/>
                          <w:color w:val="FFFFFF" w:themeColor="background1"/>
                          <w:szCs w:val="22"/>
                          <w14:textFill>
                            <w14:solidFill>
                              <w14:schemeClr w14:val="bg1"/>
                            </w14:solidFill>
                          </w14:textFill>
                        </w:rPr>
                      </w:pPr>
                      <w:r>
                        <w:rPr>
                          <w:b/>
                          <w:szCs w:val="22"/>
                        </w:rPr>
                        <w:t>Copyright © QYResearch</w:t>
                      </w:r>
                    </w:p>
                  </w:txbxContent>
                </v:textbox>
              </v:shape>
            </w:pict>
          </mc:Fallback>
        </mc:AlternateContent>
      </w:r>
      <w:bookmarkStart w:id="14" w:name="_GoBack"/>
      <w:bookmarkEnd w:id="14"/>
      <w:r>
        <w:rPr>
          <w:rFonts w:cs="Calibri"/>
        </w:rPr>
        <mc:AlternateContent>
          <mc:Choice Requires="wps">
            <w:drawing>
              <wp:anchor distT="0" distB="0" distL="114300" distR="114300" simplePos="0" relativeHeight="251660288" behindDoc="0" locked="0" layoutInCell="1" allowOverlap="1">
                <wp:simplePos x="0" y="0"/>
                <wp:positionH relativeFrom="column">
                  <wp:posOffset>-283845</wp:posOffset>
                </wp:positionH>
                <wp:positionV relativeFrom="paragraph">
                  <wp:posOffset>2054860</wp:posOffset>
                </wp:positionV>
                <wp:extent cx="6337300" cy="1769110"/>
                <wp:effectExtent l="0" t="0" r="0" b="2540"/>
                <wp:wrapNone/>
                <wp:docPr id="1346" name="Text Box 479"/>
                <wp:cNvGraphicFramePr/>
                <a:graphic xmlns:a="http://schemas.openxmlformats.org/drawingml/2006/main">
                  <a:graphicData uri="http://schemas.microsoft.com/office/word/2010/wordprocessingShape">
                    <wps:wsp>
                      <wps:cNvSpPr txBox="1">
                        <a:spLocks noChangeArrowheads="1"/>
                      </wps:cNvSpPr>
                      <wps:spPr bwMode="auto">
                        <a:xfrm>
                          <a:off x="0" y="0"/>
                          <a:ext cx="6337005" cy="1769423"/>
                        </a:xfrm>
                        <a:prstGeom prst="rect">
                          <a:avLst/>
                        </a:prstGeom>
                        <a:noFill/>
                        <a:ln w="9525">
                          <a:noFill/>
                          <a:miter lim="800000"/>
                        </a:ln>
                        <a:effectLst/>
                      </wps:spPr>
                      <wps:txbx>
                        <w:txbxContent>
                          <w:p>
                            <w:pPr>
                              <w:widowControl/>
                              <w:topLinePunct w:val="0"/>
                              <w:jc w:val="left"/>
                              <w:rPr>
                                <w:rFonts w:hint="eastAsia" w:ascii="Century Gothic" w:hAnsi="Century Gothic" w:cs="Arial"/>
                                <w:b/>
                                <w:color w:val="002060"/>
                                <w:spacing w:val="-30"/>
                                <w:kern w:val="0"/>
                                <w:sz w:val="56"/>
                                <w:szCs w:val="56"/>
                                <w:lang w:eastAsia="en-US"/>
                              </w:rPr>
                            </w:pPr>
                            <w:r>
                              <w:rPr>
                                <w:rFonts w:hint="eastAsia" w:ascii="Century Gothic" w:hAnsi="Century Gothic" w:cs="Arial"/>
                                <w:b/>
                                <w:color w:val="002060"/>
                                <w:spacing w:val="-30"/>
                                <w:kern w:val="0"/>
                                <w:sz w:val="56"/>
                                <w:szCs w:val="56"/>
                                <w:lang w:eastAsia="en-US"/>
                              </w:rPr>
                              <w:t>适体</w:t>
                            </w:r>
                          </w:p>
                          <w:p>
                            <w:pPr>
                              <w:widowControl/>
                              <w:topLinePunct w:val="0"/>
                              <w:jc w:val="left"/>
                              <w:rPr>
                                <w:rFonts w:ascii="Century Gothic" w:hAnsi="Century Gothic" w:cs="Arial"/>
                                <w:b/>
                                <w:color w:val="002060"/>
                                <w:spacing w:val="-30"/>
                                <w:kern w:val="0"/>
                                <w:sz w:val="52"/>
                                <w:szCs w:val="52"/>
                                <w:lang w:eastAsia="en-US"/>
                              </w:rPr>
                            </w:pPr>
                            <w:r>
                              <w:rPr>
                                <w:rFonts w:hint="eastAsia" w:ascii="Century Gothic" w:hAnsi="Century Gothic" w:cs="Arial"/>
                                <w:b/>
                                <w:color w:val="002060"/>
                                <w:spacing w:val="-30"/>
                                <w:kern w:val="0"/>
                                <w:sz w:val="52"/>
                                <w:szCs w:val="52"/>
                              </w:rPr>
                              <w:t>全球市场研究报告</w:t>
                            </w:r>
                            <w:r>
                              <w:rPr>
                                <w:rFonts w:ascii="Century Gothic" w:hAnsi="Century Gothic" w:cs="Arial"/>
                                <w:b/>
                                <w:color w:val="002060"/>
                                <w:spacing w:val="-30"/>
                                <w:kern w:val="0"/>
                                <w:sz w:val="52"/>
                                <w:szCs w:val="52"/>
                                <w:lang w:eastAsia="en-US"/>
                              </w:rPr>
                              <w:t>2023-2029</w:t>
                            </w:r>
                          </w:p>
                        </w:txbxContent>
                      </wps:txbx>
                      <wps:bodyPr rot="0" vert="horz" wrap="square" lIns="91440" tIns="45720" rIns="91440" bIns="45720" anchor="t" anchorCtr="0">
                        <a:noAutofit/>
                      </wps:bodyPr>
                    </wps:wsp>
                  </a:graphicData>
                </a:graphic>
              </wp:anchor>
            </w:drawing>
          </mc:Choice>
          <mc:Fallback>
            <w:pict>
              <v:shape id="Text Box 479" o:spid="_x0000_s1026" o:spt="202" type="#_x0000_t202" style="position:absolute;left:0pt;margin-left:-22.35pt;margin-top:161.8pt;height:139.3pt;width:499pt;z-index:251660288;mso-width-relative:page;mso-height-relative:page;" filled="f" stroked="f" coordsize="21600,21600" o:gfxdata="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LvbpbNkA&#10;AAALAQAADwAAAAAAAAABACAAAAAiAAAAZHJzL2Rvd25yZXYueG1sUEsBAhQAFAAAAAgAh07iQBDM&#10;BnIeAgAAPAQAAA4AAAAAAAAAAQAgAAAAKAEAAGRycy9lMm9Eb2MueG1sUEsFBgAAAAAGAAYAWQEA&#10;ALgFAAAAAA==&#10;">
                <v:fill on="f" focussize="0,0"/>
                <v:stroke on="f" miterlimit="8" joinstyle="miter"/>
                <v:imagedata o:title=""/>
                <o:lock v:ext="edit" aspectratio="f"/>
                <v:textbox>
                  <w:txbxContent>
                    <w:p>
                      <w:pPr>
                        <w:widowControl/>
                        <w:topLinePunct w:val="0"/>
                        <w:jc w:val="left"/>
                        <w:rPr>
                          <w:rFonts w:hint="eastAsia" w:ascii="Century Gothic" w:hAnsi="Century Gothic" w:cs="Arial"/>
                          <w:b/>
                          <w:color w:val="002060"/>
                          <w:spacing w:val="-30"/>
                          <w:kern w:val="0"/>
                          <w:sz w:val="56"/>
                          <w:szCs w:val="56"/>
                          <w:lang w:eastAsia="en-US"/>
                        </w:rPr>
                      </w:pPr>
                      <w:r>
                        <w:rPr>
                          <w:rFonts w:hint="eastAsia" w:ascii="Century Gothic" w:hAnsi="Century Gothic" w:cs="Arial"/>
                          <w:b/>
                          <w:color w:val="002060"/>
                          <w:spacing w:val="-30"/>
                          <w:kern w:val="0"/>
                          <w:sz w:val="56"/>
                          <w:szCs w:val="56"/>
                          <w:lang w:eastAsia="en-US"/>
                        </w:rPr>
                        <w:t>适体</w:t>
                      </w:r>
                    </w:p>
                    <w:p>
                      <w:pPr>
                        <w:widowControl/>
                        <w:topLinePunct w:val="0"/>
                        <w:jc w:val="left"/>
                        <w:rPr>
                          <w:rFonts w:ascii="Century Gothic" w:hAnsi="Century Gothic" w:cs="Arial"/>
                          <w:b/>
                          <w:color w:val="002060"/>
                          <w:spacing w:val="-30"/>
                          <w:kern w:val="0"/>
                          <w:sz w:val="52"/>
                          <w:szCs w:val="52"/>
                          <w:lang w:eastAsia="en-US"/>
                        </w:rPr>
                      </w:pPr>
                      <w:r>
                        <w:rPr>
                          <w:rFonts w:hint="eastAsia" w:ascii="Century Gothic" w:hAnsi="Century Gothic" w:cs="Arial"/>
                          <w:b/>
                          <w:color w:val="002060"/>
                          <w:spacing w:val="-30"/>
                          <w:kern w:val="0"/>
                          <w:sz w:val="52"/>
                          <w:szCs w:val="52"/>
                        </w:rPr>
                        <w:t>全球市场研究报告</w:t>
                      </w:r>
                      <w:r>
                        <w:rPr>
                          <w:rFonts w:ascii="Century Gothic" w:hAnsi="Century Gothic" w:cs="Arial"/>
                          <w:b/>
                          <w:color w:val="002060"/>
                          <w:spacing w:val="-30"/>
                          <w:kern w:val="0"/>
                          <w:sz w:val="52"/>
                          <w:szCs w:val="52"/>
                          <w:lang w:eastAsia="en-US"/>
                        </w:rPr>
                        <w:t>2023-2029</w:t>
                      </w:r>
                    </w:p>
                  </w:txbxContent>
                </v:textbox>
              </v:shape>
            </w:pict>
          </mc:Fallback>
        </mc:AlternateContent>
      </w:r>
      <w:r>
        <w:rPr>
          <w:rFonts w:cs="Calibri"/>
        </w:rPr>
        <mc:AlternateContent>
          <mc:Choice Requires="wps">
            <w:drawing>
              <wp:anchor distT="0" distB="0" distL="114300" distR="114300" simplePos="0" relativeHeight="251661312" behindDoc="0" locked="0" layoutInCell="1" allowOverlap="1">
                <wp:simplePos x="0" y="0"/>
                <wp:positionH relativeFrom="column">
                  <wp:posOffset>-153035</wp:posOffset>
                </wp:positionH>
                <wp:positionV relativeFrom="paragraph">
                  <wp:posOffset>3918585</wp:posOffset>
                </wp:positionV>
                <wp:extent cx="4971415" cy="0"/>
                <wp:effectExtent l="0" t="19050" r="19685" b="19050"/>
                <wp:wrapNone/>
                <wp:docPr id="1348" name="Straight Connector 38"/>
                <wp:cNvGraphicFramePr/>
                <a:graphic xmlns:a="http://schemas.openxmlformats.org/drawingml/2006/main">
                  <a:graphicData uri="http://schemas.microsoft.com/office/word/2010/wordprocessingShape">
                    <wps:wsp>
                      <wps:cNvCnPr/>
                      <wps:spPr>
                        <a:xfrm>
                          <a:off x="0" y="0"/>
                          <a:ext cx="4971415" cy="0"/>
                        </a:xfrm>
                        <a:prstGeom prst="line">
                          <a:avLst/>
                        </a:prstGeom>
                        <a:ln w="28575">
                          <a:solidFill>
                            <a:schemeClr val="accent4"/>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38" o:spid="_x0000_s1026" o:spt="20" style="position:absolute;left:0pt;margin-left:-12.05pt;margin-top:308.55pt;height:0pt;width:391.45pt;z-index:251661312;mso-width-relative:page;mso-height-relative:page;" filled="f" stroked="t" coordsize="21600,21600" o:gfxdata="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DWn7DY2QAAAAsBAAAPAAAA&#10;AAAAAAEAIAAAACIAAABkcnMvZG93bnJldi54bWxQSwECFAAUAAAACACHTuJAS6AeHNsBAAC5AwAA&#10;DgAAAAAAAAABACAAAAAoAQAAZHJzL2Uyb0RvYy54bWxQSwUGAAAAAAYABgBZAQAAdQUAAAAA&#10;">
                <v:fill on="f" focussize="0,0"/>
                <v:stroke weight="2.25pt" color="#FFC000 [3207]" miterlimit="8" joinstyle="miter"/>
                <v:imagedata o:title=""/>
                <o:lock v:ext="edit" aspectratio="f"/>
              </v:line>
            </w:pict>
          </mc:Fallback>
        </mc:AlternateContent>
      </w:r>
      <w:r>
        <w:rPr>
          <w:rFonts w:cs="Calibri"/>
        </w:rPr>
        <w:drawing>
          <wp:anchor distT="0" distB="0" distL="114300" distR="114300" simplePos="0" relativeHeight="251662336" behindDoc="1" locked="0" layoutInCell="1" allowOverlap="1">
            <wp:simplePos x="0" y="0"/>
            <wp:positionH relativeFrom="page">
              <wp:posOffset>-62230</wp:posOffset>
            </wp:positionH>
            <wp:positionV relativeFrom="page">
              <wp:posOffset>-37465</wp:posOffset>
            </wp:positionV>
            <wp:extent cx="7665085" cy="10734675"/>
            <wp:effectExtent l="0" t="0" r="0" b="0"/>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a:xfrm>
                      <a:off x="0" y="0"/>
                      <a:ext cx="7665079" cy="10734675"/>
                    </a:xfrm>
                    <a:prstGeom prst="rect">
                      <a:avLst/>
                    </a:prstGeom>
                  </pic:spPr>
                </pic:pic>
              </a:graphicData>
            </a:graphic>
          </wp:anchor>
        </w:drawing>
      </w:r>
    </w:p>
    <w:p>
      <w:pPr>
        <w:sectPr>
          <w:headerReference r:id="rId5" w:type="first"/>
          <w:headerReference r:id="rId4" w:type="even"/>
          <w:pgSz w:w="11906" w:h="16838"/>
          <w:pgMar w:top="1418" w:right="1134" w:bottom="851" w:left="1134" w:header="709" w:footer="567" w:gutter="0"/>
          <w:pgNumType w:start="0"/>
          <w:cols w:space="708" w:num="1"/>
          <w:docGrid w:linePitch="360" w:charSpace="0"/>
        </w:sectPr>
      </w:pPr>
    </w:p>
    <w:bookmarkEnd w:id="0"/>
    <w:p>
      <w:pPr>
        <w:pStyle w:val="167"/>
      </w:pPr>
      <w:r>
        <w:rPr>
          <w:rFonts w:hint="eastAsia"/>
          <w:lang w:eastAsia="zh-CN"/>
        </w:rPr>
        <w:t>适体全球市场总体规模</w:t>
      </w:r>
    </w:p>
    <w:p>
      <w:pPr>
        <w:rPr>
          <w:rFonts w:ascii="Times New Roman" w:hAnsi="Times New Roman" w:cs="Times New Roman"/>
        </w:rPr>
      </w:pPr>
      <w:r>
        <w:drawing>
          <wp:inline distT="0" distB="0" distL="114300" distR="114300">
            <wp:extent cx="3932555" cy="2684780"/>
            <wp:effectExtent l="0" t="0" r="10795" b="127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8"/>
                    <a:stretch>
                      <a:fillRect/>
                    </a:stretch>
                  </pic:blipFill>
                  <pic:spPr>
                    <a:xfrm>
                      <a:off x="0" y="0"/>
                      <a:ext cx="3932555" cy="2684780"/>
                    </a:xfrm>
                    <a:prstGeom prst="rect">
                      <a:avLst/>
                    </a:prstGeom>
                    <a:noFill/>
                    <a:ln>
                      <a:noFill/>
                    </a:ln>
                  </pic:spPr>
                </pic:pic>
              </a:graphicData>
            </a:graphic>
          </wp:inline>
        </w:drawing>
      </w:r>
    </w:p>
    <w:p>
      <w:pPr>
        <w:rPr>
          <w:rFonts w:ascii="Times New Roman" w:hAnsi="Times New Roman" w:cs="Times New Roman"/>
        </w:rPr>
      </w:pPr>
      <w:r>
        <w:rPr>
          <w:rFonts w:hint="eastAsia" w:ascii="Times New Roman" w:hAnsi="Times New Roman" w:cs="Times New Roman"/>
        </w:rPr>
        <w:t>据QYResearch调研团队最新报告“全球适体市场报告2023-2029”显示，预计2029年全球适体市场规模将达到9.7亿美元，未来几年年复合增长率CAGR为18.6%。</w:t>
      </w:r>
    </w:p>
    <w:p>
      <w:pPr>
        <w:pStyle w:val="148"/>
      </w:pPr>
      <w:r>
        <w:rPr>
          <w:rFonts w:hint="eastAsia"/>
          <w:lang w:eastAsia="zh-CN"/>
        </w:rPr>
        <w:t>适体全球市场总体规模，预计2</w:t>
      </w:r>
      <w:r>
        <w:rPr>
          <w:lang w:eastAsia="zh-CN"/>
        </w:rPr>
        <w:t>029</w:t>
      </w:r>
      <w:r>
        <w:rPr>
          <w:rFonts w:hint="eastAsia"/>
          <w:lang w:eastAsia="zh-CN"/>
        </w:rPr>
        <w:t>年达到</w:t>
      </w:r>
      <w:r>
        <w:rPr>
          <w:rFonts w:hint="eastAsia"/>
          <w:lang w:val="en-US" w:eastAsia="zh-CN"/>
        </w:rPr>
        <w:t>9.7</w:t>
      </w:r>
      <w:r>
        <w:rPr>
          <w:rFonts w:hint="eastAsia"/>
          <w:lang w:eastAsia="zh-CN"/>
        </w:rPr>
        <w:t>亿美元</w:t>
      </w:r>
    </w:p>
    <w:p>
      <w:pPr>
        <w:pStyle w:val="145"/>
      </w:pPr>
      <w:r>
        <w:drawing>
          <wp:inline distT="0" distB="0" distL="114300" distR="114300">
            <wp:extent cx="6188710" cy="2936240"/>
            <wp:effectExtent l="0" t="0" r="2540" b="16510"/>
            <wp:docPr id="3"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pPr>
        <w:pStyle w:val="143"/>
      </w:pPr>
      <w:r>
        <w:rPr>
          <w:rFonts w:hint="eastAsia"/>
          <w:lang w:eastAsia="zh-CN"/>
        </w:rPr>
        <w:t>如上图表/数据，摘自QYResearch最新报告“</w:t>
      </w:r>
      <w:r>
        <w:rPr>
          <w:rFonts w:hint="eastAsia"/>
        </w:rPr>
        <w:t>全球</w:t>
      </w:r>
      <w:r>
        <w:rPr>
          <w:rFonts w:hint="eastAsia"/>
          <w:lang w:eastAsia="zh-CN"/>
        </w:rPr>
        <w:t>适体</w:t>
      </w:r>
      <w:r>
        <w:rPr>
          <w:rFonts w:hint="eastAsia"/>
        </w:rPr>
        <w:t>市场研究报告2023-2029</w:t>
      </w:r>
      <w:r>
        <w:t>.</w:t>
      </w:r>
    </w:p>
    <w:p>
      <w:pPr>
        <w:pStyle w:val="145"/>
      </w:pPr>
    </w:p>
    <w:p>
      <w:pPr>
        <w:pStyle w:val="148"/>
        <w:rPr>
          <w:lang w:eastAsia="zh-CN"/>
        </w:rPr>
      </w:pPr>
      <w:r>
        <w:rPr>
          <w:rFonts w:hint="eastAsia"/>
          <w:lang w:eastAsia="zh-CN"/>
        </w:rPr>
        <w:t>全球适体市场前</w:t>
      </w:r>
      <w:r>
        <w:rPr>
          <w:rFonts w:hint="eastAsia"/>
          <w:lang w:val="en-US" w:eastAsia="zh-CN"/>
        </w:rPr>
        <w:t>19</w:t>
      </w:r>
      <w:r>
        <w:rPr>
          <w:rFonts w:hint="eastAsia"/>
          <w:lang w:eastAsia="zh-CN"/>
        </w:rPr>
        <w:t>强生产商排名及市场占有率（持续更新）</w:t>
      </w:r>
    </w:p>
    <w:p>
      <w:pPr>
        <w:pStyle w:val="145"/>
        <w:jc w:val="center"/>
      </w:pPr>
      <w:r>
        <w:drawing>
          <wp:inline distT="0" distB="0" distL="114300" distR="114300">
            <wp:extent cx="4572000" cy="4399915"/>
            <wp:effectExtent l="0" t="0" r="0" b="635"/>
            <wp:docPr id="4"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pPr>
        <w:pStyle w:val="143"/>
      </w:pPr>
      <w:r>
        <w:rPr>
          <w:rFonts w:hint="eastAsia"/>
          <w:lang w:eastAsia="zh-CN"/>
        </w:rPr>
        <w:t>如上图表/数据，摘自QYResearch最新报告“</w:t>
      </w:r>
      <w:r>
        <w:rPr>
          <w:rFonts w:hint="eastAsia"/>
        </w:rPr>
        <w:t>全球</w:t>
      </w:r>
      <w:r>
        <w:rPr>
          <w:rFonts w:hint="eastAsia"/>
          <w:lang w:eastAsia="zh-CN"/>
        </w:rPr>
        <w:t>适体</w:t>
      </w:r>
      <w:r>
        <w:rPr>
          <w:rFonts w:hint="eastAsia"/>
        </w:rPr>
        <w:t>市场研究报告2023-2029</w:t>
      </w:r>
      <w:r>
        <w:t>.</w:t>
      </w:r>
    </w:p>
    <w:p>
      <w:pPr>
        <w:pStyle w:val="145"/>
        <w:rPr>
          <w:rFonts w:hint="eastAsia"/>
          <w:lang w:eastAsia="zh-CN"/>
        </w:rPr>
      </w:pPr>
      <w:r>
        <w:rPr>
          <w:rFonts w:hint="eastAsia"/>
          <w:lang w:eastAsia="zh-CN"/>
        </w:rPr>
        <w:t>全球范围内适体生产商主要包括TriLink BioTechnologies、Novaptech、SomaLogic、AM Biotechnologies、Aptamer Sciences、Base Pair Biotechnologies、Aptamer Group、Aptagen、Aptus Biotech、NeoVentures Biotechnology等。2022年，全球前五大厂商占有大约10.0%的市场份额。</w:t>
      </w:r>
    </w:p>
    <w:p>
      <w:pPr>
        <w:pStyle w:val="145"/>
        <w:rPr>
          <w:rFonts w:hint="eastAsia"/>
          <w:lang w:eastAsia="zh-CN"/>
        </w:rPr>
      </w:pPr>
    </w:p>
    <w:p>
      <w:pPr>
        <w:pStyle w:val="145"/>
        <w:rPr>
          <w:rFonts w:hint="eastAsia"/>
          <w:lang w:eastAsia="zh-CN"/>
        </w:rPr>
      </w:pPr>
    </w:p>
    <w:p>
      <w:pPr>
        <w:pStyle w:val="145"/>
      </w:pPr>
      <w:r>
        <w:br w:type="page"/>
      </w:r>
    </w:p>
    <w:bookmarkEnd w:id="1"/>
    <w:bookmarkEnd w:id="2"/>
    <w:bookmarkEnd w:id="3"/>
    <w:bookmarkEnd w:id="4"/>
    <w:bookmarkEnd w:id="5"/>
    <w:bookmarkEnd w:id="6"/>
    <w:bookmarkEnd w:id="7"/>
    <w:bookmarkEnd w:id="8"/>
    <w:bookmarkEnd w:id="9"/>
    <w:bookmarkEnd w:id="10"/>
    <w:bookmarkEnd w:id="11"/>
    <w:bookmarkEnd w:id="12"/>
    <w:bookmarkEnd w:id="13"/>
    <w:p>
      <w:pPr>
        <w:pStyle w:val="145"/>
        <w:rPr>
          <w:rFonts w:hint="eastAsia"/>
          <w:lang w:eastAsia="zh-CN"/>
        </w:rPr>
      </w:pPr>
      <w:r>
        <w:rPr>
          <w:rFonts w:hint="eastAsia"/>
          <w:lang w:eastAsia="zh-CN"/>
        </w:rPr>
        <w:t>本文侧重研究全球适体总体规模及主要厂商占有率和排名，主要统计指标包括适体产能、销量、销售收入、价格、市场份额及排名等，企业数据主要侧重近三年行业内主要厂商的市场销售情况。地区层面，主要分析过去五年和未来五年行业内主要生产地区和主要消费地区的规模及趋势。</w:t>
      </w:r>
    </w:p>
    <w:p>
      <w:pPr>
        <w:pStyle w:val="145"/>
        <w:rPr>
          <w:rFonts w:hint="eastAsia"/>
          <w:lang w:eastAsia="zh-CN"/>
        </w:rPr>
      </w:pPr>
      <w:r>
        <w:rPr>
          <w:rFonts w:hint="eastAsia"/>
          <w:lang w:eastAsia="zh-CN"/>
        </w:rPr>
        <w:t>QYResearch（恒州博智）是全球知名的大型咨询机构，长期专注于各行业细分市场的调研。行业层面，重点关注可能存在“卡脖子”的高科技细分领域。企业层面，重点关注在国际和国内市场在规模和技术等层面具有代表性的企业，挖掘出各个行业的国家级“专精特新”企业，以全球视角，深度洞察行业竞争态势、发展现状及未来趋势。</w:t>
      </w:r>
    </w:p>
    <w:p>
      <w:pPr>
        <w:pStyle w:val="145"/>
        <w:rPr>
          <w:rFonts w:hint="eastAsia"/>
          <w:lang w:eastAsia="zh-CN"/>
        </w:rPr>
      </w:pPr>
      <w:r>
        <w:rPr>
          <w:rFonts w:hint="eastAsia"/>
          <w:lang w:eastAsia="zh-CN"/>
        </w:rPr>
        <w:t>本文主要企业名单如下，也可根据客户要求增加目标企业：</w:t>
      </w:r>
    </w:p>
    <w:p>
      <w:pPr>
        <w:pStyle w:val="145"/>
        <w:rPr>
          <w:rFonts w:hint="eastAsia"/>
          <w:lang w:eastAsia="zh-CN"/>
        </w:rPr>
      </w:pPr>
      <w:r>
        <w:rPr>
          <w:rFonts w:hint="eastAsia"/>
          <w:lang w:eastAsia="zh-CN"/>
        </w:rPr>
        <w:t xml:space="preserve">    TriLink BioTechnologies</w:t>
      </w:r>
    </w:p>
    <w:p>
      <w:pPr>
        <w:pStyle w:val="145"/>
        <w:rPr>
          <w:rFonts w:hint="eastAsia"/>
          <w:lang w:eastAsia="zh-CN"/>
        </w:rPr>
      </w:pPr>
      <w:r>
        <w:rPr>
          <w:rFonts w:hint="eastAsia"/>
          <w:lang w:eastAsia="zh-CN"/>
        </w:rPr>
        <w:t xml:space="preserve">    AptaBharat</w:t>
      </w:r>
    </w:p>
    <w:p>
      <w:pPr>
        <w:pStyle w:val="145"/>
        <w:rPr>
          <w:rFonts w:hint="eastAsia"/>
          <w:lang w:eastAsia="zh-CN"/>
        </w:rPr>
      </w:pPr>
      <w:r>
        <w:rPr>
          <w:rFonts w:hint="eastAsia"/>
          <w:lang w:eastAsia="zh-CN"/>
        </w:rPr>
        <w:t xml:space="preserve">    SomaLogic</w:t>
      </w:r>
    </w:p>
    <w:p>
      <w:pPr>
        <w:pStyle w:val="145"/>
        <w:rPr>
          <w:rFonts w:hint="eastAsia"/>
          <w:lang w:eastAsia="zh-CN"/>
        </w:rPr>
      </w:pPr>
      <w:r>
        <w:rPr>
          <w:rFonts w:hint="eastAsia"/>
          <w:lang w:eastAsia="zh-CN"/>
        </w:rPr>
        <w:t xml:space="preserve">    AM Biotechnologies</w:t>
      </w:r>
    </w:p>
    <w:p>
      <w:pPr>
        <w:pStyle w:val="145"/>
        <w:rPr>
          <w:rFonts w:hint="eastAsia"/>
          <w:lang w:eastAsia="zh-CN"/>
        </w:rPr>
      </w:pPr>
      <w:r>
        <w:rPr>
          <w:rFonts w:hint="eastAsia"/>
          <w:lang w:eastAsia="zh-CN"/>
        </w:rPr>
        <w:t xml:space="preserve">    Aptamer Sciences</w:t>
      </w:r>
    </w:p>
    <w:p>
      <w:pPr>
        <w:pStyle w:val="145"/>
        <w:rPr>
          <w:rFonts w:hint="eastAsia"/>
          <w:lang w:eastAsia="zh-CN"/>
        </w:rPr>
      </w:pPr>
      <w:r>
        <w:rPr>
          <w:rFonts w:hint="eastAsia"/>
          <w:lang w:eastAsia="zh-CN"/>
        </w:rPr>
        <w:t xml:space="preserve">    Base Pair Biotechnologies</w:t>
      </w:r>
    </w:p>
    <w:p>
      <w:pPr>
        <w:pStyle w:val="145"/>
        <w:rPr>
          <w:rFonts w:hint="eastAsia"/>
          <w:lang w:eastAsia="zh-CN"/>
        </w:rPr>
      </w:pPr>
      <w:r>
        <w:rPr>
          <w:rFonts w:hint="eastAsia"/>
          <w:lang w:eastAsia="zh-CN"/>
        </w:rPr>
        <w:t xml:space="preserve">    Aptamer Group</w:t>
      </w:r>
    </w:p>
    <w:p>
      <w:pPr>
        <w:pStyle w:val="145"/>
        <w:rPr>
          <w:rFonts w:hint="eastAsia"/>
          <w:lang w:eastAsia="zh-CN"/>
        </w:rPr>
      </w:pPr>
      <w:r>
        <w:rPr>
          <w:rFonts w:hint="eastAsia"/>
          <w:lang w:eastAsia="zh-CN"/>
        </w:rPr>
        <w:t xml:space="preserve">    Aptagen</w:t>
      </w:r>
    </w:p>
    <w:p>
      <w:pPr>
        <w:pStyle w:val="145"/>
        <w:rPr>
          <w:rFonts w:hint="eastAsia"/>
          <w:lang w:eastAsia="zh-CN"/>
        </w:rPr>
      </w:pPr>
      <w:r>
        <w:rPr>
          <w:rFonts w:hint="eastAsia"/>
          <w:lang w:eastAsia="zh-CN"/>
        </w:rPr>
        <w:t xml:space="preserve">    Aptus Biotech</w:t>
      </w:r>
    </w:p>
    <w:p>
      <w:pPr>
        <w:pStyle w:val="145"/>
        <w:rPr>
          <w:rFonts w:hint="eastAsia"/>
          <w:lang w:eastAsia="zh-CN"/>
        </w:rPr>
      </w:pPr>
      <w:r>
        <w:rPr>
          <w:rFonts w:hint="eastAsia"/>
          <w:lang w:eastAsia="zh-CN"/>
        </w:rPr>
        <w:t xml:space="preserve">    NeoVentures Biotechnology</w:t>
      </w:r>
    </w:p>
    <w:p>
      <w:pPr>
        <w:pStyle w:val="145"/>
        <w:rPr>
          <w:rFonts w:hint="eastAsia"/>
          <w:lang w:eastAsia="zh-CN"/>
        </w:rPr>
      </w:pPr>
      <w:r>
        <w:rPr>
          <w:rFonts w:hint="eastAsia"/>
          <w:lang w:eastAsia="zh-CN"/>
        </w:rPr>
        <w:t xml:space="preserve">    Ray Biotech</w:t>
      </w:r>
    </w:p>
    <w:p>
      <w:pPr>
        <w:pStyle w:val="145"/>
        <w:rPr>
          <w:rFonts w:hint="eastAsia"/>
          <w:lang w:eastAsia="zh-CN"/>
        </w:rPr>
      </w:pPr>
      <w:r>
        <w:rPr>
          <w:rFonts w:hint="eastAsia"/>
          <w:lang w:eastAsia="zh-CN"/>
        </w:rPr>
        <w:t xml:space="preserve">    Vivonics</w:t>
      </w:r>
    </w:p>
    <w:p>
      <w:pPr>
        <w:pStyle w:val="145"/>
        <w:rPr>
          <w:rFonts w:hint="eastAsia"/>
          <w:lang w:eastAsia="zh-CN"/>
        </w:rPr>
      </w:pPr>
      <w:r>
        <w:rPr>
          <w:rFonts w:hint="eastAsia"/>
          <w:lang w:eastAsia="zh-CN"/>
        </w:rPr>
        <w:t>按照不同产品类型，包括如下几个类别：</w:t>
      </w:r>
    </w:p>
    <w:p>
      <w:pPr>
        <w:pStyle w:val="145"/>
        <w:rPr>
          <w:rFonts w:hint="eastAsia"/>
          <w:lang w:eastAsia="zh-CN"/>
        </w:rPr>
      </w:pPr>
      <w:r>
        <w:rPr>
          <w:rFonts w:hint="eastAsia"/>
          <w:lang w:eastAsia="zh-CN"/>
        </w:rPr>
        <w:t xml:space="preserve">    基于DNA的适体</w:t>
      </w:r>
    </w:p>
    <w:p>
      <w:pPr>
        <w:pStyle w:val="145"/>
        <w:rPr>
          <w:rFonts w:hint="eastAsia"/>
          <w:lang w:eastAsia="zh-CN"/>
        </w:rPr>
      </w:pPr>
      <w:r>
        <w:rPr>
          <w:rFonts w:hint="eastAsia"/>
          <w:lang w:eastAsia="zh-CN"/>
        </w:rPr>
        <w:t xml:space="preserve">    基于RNA的适体</w:t>
      </w:r>
    </w:p>
    <w:p>
      <w:pPr>
        <w:pStyle w:val="145"/>
        <w:rPr>
          <w:rFonts w:hint="eastAsia"/>
          <w:lang w:eastAsia="zh-CN"/>
        </w:rPr>
      </w:pPr>
      <w:r>
        <w:rPr>
          <w:rFonts w:hint="eastAsia"/>
          <w:lang w:eastAsia="zh-CN"/>
        </w:rPr>
        <w:t>按照不同应用，主要包括如下几个方面：</w:t>
      </w:r>
    </w:p>
    <w:p>
      <w:pPr>
        <w:pStyle w:val="145"/>
        <w:rPr>
          <w:rFonts w:hint="eastAsia"/>
          <w:lang w:eastAsia="zh-CN"/>
        </w:rPr>
      </w:pPr>
      <w:r>
        <w:rPr>
          <w:rFonts w:hint="eastAsia"/>
          <w:lang w:eastAsia="zh-CN"/>
        </w:rPr>
        <w:t xml:space="preserve">    学术研发</w:t>
      </w:r>
    </w:p>
    <w:p>
      <w:pPr>
        <w:pStyle w:val="145"/>
        <w:rPr>
          <w:rFonts w:hint="eastAsia"/>
          <w:lang w:eastAsia="zh-CN"/>
        </w:rPr>
      </w:pPr>
      <w:r>
        <w:rPr>
          <w:rFonts w:hint="eastAsia"/>
          <w:lang w:eastAsia="zh-CN"/>
        </w:rPr>
        <w:t xml:space="preserve">    药物开发</w:t>
      </w:r>
    </w:p>
    <w:p>
      <w:pPr>
        <w:pStyle w:val="145"/>
        <w:rPr>
          <w:rFonts w:hint="eastAsia"/>
          <w:lang w:eastAsia="zh-CN"/>
        </w:rPr>
      </w:pPr>
      <w:r>
        <w:rPr>
          <w:rFonts w:hint="eastAsia"/>
          <w:lang w:eastAsia="zh-CN"/>
        </w:rPr>
        <w:t>重点关注如下几个地区</w:t>
      </w:r>
    </w:p>
    <w:p>
      <w:pPr>
        <w:pStyle w:val="145"/>
        <w:rPr>
          <w:rFonts w:hint="eastAsia"/>
          <w:lang w:eastAsia="zh-CN"/>
        </w:rPr>
      </w:pPr>
      <w:r>
        <w:rPr>
          <w:rFonts w:hint="eastAsia"/>
          <w:lang w:eastAsia="zh-CN"/>
        </w:rPr>
        <w:t xml:space="preserve">    北美</w:t>
      </w:r>
    </w:p>
    <w:p>
      <w:pPr>
        <w:pStyle w:val="145"/>
        <w:rPr>
          <w:rFonts w:hint="eastAsia"/>
          <w:lang w:eastAsia="zh-CN"/>
        </w:rPr>
      </w:pPr>
      <w:r>
        <w:rPr>
          <w:rFonts w:hint="eastAsia"/>
          <w:lang w:eastAsia="zh-CN"/>
        </w:rPr>
        <w:t xml:space="preserve">    欧洲</w:t>
      </w:r>
    </w:p>
    <w:p>
      <w:pPr>
        <w:pStyle w:val="145"/>
        <w:rPr>
          <w:rFonts w:hint="eastAsia"/>
          <w:lang w:eastAsia="zh-CN"/>
        </w:rPr>
      </w:pPr>
      <w:r>
        <w:rPr>
          <w:rFonts w:hint="eastAsia"/>
          <w:lang w:eastAsia="zh-CN"/>
        </w:rPr>
        <w:t xml:space="preserve">    中国</w:t>
      </w:r>
    </w:p>
    <w:p>
      <w:pPr>
        <w:pStyle w:val="145"/>
        <w:rPr>
          <w:rFonts w:hint="eastAsia"/>
          <w:lang w:eastAsia="zh-CN"/>
        </w:rPr>
      </w:pPr>
      <w:r>
        <w:rPr>
          <w:rFonts w:hint="eastAsia"/>
          <w:lang w:eastAsia="zh-CN"/>
        </w:rPr>
        <w:t xml:space="preserve">    日本</w:t>
      </w:r>
    </w:p>
    <w:p>
      <w:pPr>
        <w:pStyle w:val="145"/>
        <w:rPr>
          <w:rFonts w:hint="eastAsia"/>
          <w:lang w:eastAsia="zh-CN"/>
        </w:rPr>
      </w:pPr>
      <w:r>
        <w:rPr>
          <w:rFonts w:hint="eastAsia"/>
          <w:lang w:eastAsia="zh-CN"/>
        </w:rPr>
        <w:t xml:space="preserve">    韩国</w:t>
      </w:r>
    </w:p>
    <w:p>
      <w:pPr>
        <w:pStyle w:val="145"/>
        <w:rPr>
          <w:rFonts w:hint="eastAsia"/>
          <w:lang w:eastAsia="zh-CN"/>
        </w:rPr>
      </w:pPr>
      <w:r>
        <w:rPr>
          <w:rFonts w:hint="eastAsia"/>
          <w:lang w:eastAsia="zh-CN"/>
        </w:rPr>
        <w:t xml:space="preserve">    印度</w:t>
      </w:r>
    </w:p>
    <w:p>
      <w:pPr>
        <w:pStyle w:val="145"/>
        <w:rPr>
          <w:rFonts w:hint="eastAsia"/>
          <w:lang w:eastAsia="zh-CN"/>
        </w:rPr>
      </w:pPr>
      <w:r>
        <w:rPr>
          <w:rFonts w:hint="eastAsia"/>
          <w:lang w:eastAsia="zh-CN"/>
        </w:rPr>
        <w:t>本文正文共10章，各章节主要内容如下：</w:t>
      </w:r>
    </w:p>
    <w:p>
      <w:pPr>
        <w:pStyle w:val="145"/>
        <w:rPr>
          <w:rFonts w:hint="eastAsia"/>
          <w:lang w:eastAsia="zh-CN"/>
        </w:rPr>
      </w:pPr>
      <w:r>
        <w:rPr>
          <w:rFonts w:hint="eastAsia"/>
          <w:lang w:eastAsia="zh-CN"/>
        </w:rPr>
        <w:t>第1章：报告统计范围、所属行业、产品细分及主要的下游市场，行业现状及进入壁垒等</w:t>
      </w:r>
    </w:p>
    <w:p>
      <w:pPr>
        <w:pStyle w:val="145"/>
        <w:rPr>
          <w:rFonts w:hint="eastAsia"/>
          <w:lang w:eastAsia="zh-CN"/>
        </w:rPr>
      </w:pPr>
      <w:r>
        <w:rPr>
          <w:rFonts w:hint="eastAsia"/>
          <w:lang w:eastAsia="zh-CN"/>
        </w:rPr>
        <w:t>第2章：国内外主要企业市场占有率及排名</w:t>
      </w:r>
    </w:p>
    <w:p>
      <w:pPr>
        <w:pStyle w:val="145"/>
        <w:rPr>
          <w:rFonts w:hint="eastAsia"/>
          <w:lang w:eastAsia="zh-CN"/>
        </w:rPr>
      </w:pPr>
      <w:r>
        <w:rPr>
          <w:rFonts w:hint="eastAsia"/>
          <w:lang w:eastAsia="zh-CN"/>
        </w:rPr>
        <w:t>第3章：全球总体规模（产能、产量、销量、需求量、销售收入等数据，2018-2029年）</w:t>
      </w:r>
    </w:p>
    <w:p>
      <w:pPr>
        <w:pStyle w:val="145"/>
        <w:rPr>
          <w:rFonts w:hint="eastAsia"/>
          <w:lang w:eastAsia="zh-CN"/>
        </w:rPr>
      </w:pPr>
      <w:r>
        <w:rPr>
          <w:rFonts w:hint="eastAsia"/>
          <w:lang w:eastAsia="zh-CN"/>
        </w:rPr>
        <w:t>第4章：全球适体主要地区分析，包括销量、销售收入等</w:t>
      </w:r>
    </w:p>
    <w:p>
      <w:pPr>
        <w:pStyle w:val="145"/>
        <w:rPr>
          <w:rFonts w:hint="eastAsia"/>
          <w:lang w:eastAsia="zh-CN"/>
        </w:rPr>
      </w:pPr>
      <w:r>
        <w:rPr>
          <w:rFonts w:hint="eastAsia"/>
          <w:lang w:eastAsia="zh-CN"/>
        </w:rPr>
        <w:t>第5章：全球适体主要厂商基本情况介绍，包括公司简介、适体产品型号、销量、收入、价格及最新动态等</w:t>
      </w:r>
    </w:p>
    <w:p>
      <w:pPr>
        <w:pStyle w:val="145"/>
        <w:rPr>
          <w:rFonts w:hint="eastAsia"/>
          <w:lang w:eastAsia="zh-CN"/>
        </w:rPr>
      </w:pPr>
      <w:r>
        <w:rPr>
          <w:rFonts w:hint="eastAsia"/>
          <w:lang w:eastAsia="zh-CN"/>
        </w:rPr>
        <w:t>第6章：全球不同产品类型适体销量、收入、价格及份额等</w:t>
      </w:r>
    </w:p>
    <w:p>
      <w:pPr>
        <w:pStyle w:val="145"/>
        <w:rPr>
          <w:rFonts w:hint="eastAsia"/>
          <w:lang w:eastAsia="zh-CN"/>
        </w:rPr>
      </w:pPr>
      <w:r>
        <w:rPr>
          <w:rFonts w:hint="eastAsia"/>
          <w:lang w:eastAsia="zh-CN"/>
        </w:rPr>
        <w:t>第7章：全球不同应用适体销量、收入、价格及份额等</w:t>
      </w:r>
    </w:p>
    <w:p>
      <w:pPr>
        <w:pStyle w:val="145"/>
        <w:rPr>
          <w:rFonts w:hint="eastAsia"/>
          <w:lang w:eastAsia="zh-CN"/>
        </w:rPr>
      </w:pPr>
      <w:r>
        <w:rPr>
          <w:rFonts w:hint="eastAsia"/>
          <w:lang w:eastAsia="zh-CN"/>
        </w:rPr>
        <w:t>第8章：行业发展趋势、驱动因素、行业政策等</w:t>
      </w:r>
    </w:p>
    <w:p>
      <w:pPr>
        <w:pStyle w:val="145"/>
        <w:rPr>
          <w:rFonts w:hint="eastAsia"/>
          <w:lang w:eastAsia="zh-CN"/>
        </w:rPr>
      </w:pPr>
      <w:r>
        <w:rPr>
          <w:rFonts w:hint="eastAsia"/>
          <w:lang w:eastAsia="zh-CN"/>
        </w:rPr>
        <w:t>第9章：产业链、上下游分析、生产模式、销售，模式及销售渠道分析等</w:t>
      </w:r>
    </w:p>
    <w:p>
      <w:pPr>
        <w:pStyle w:val="145"/>
        <w:rPr>
          <w:rFonts w:hint="eastAsia"/>
          <w:lang w:eastAsia="zh-CN"/>
        </w:rPr>
      </w:pPr>
      <w:r>
        <w:rPr>
          <w:rFonts w:hint="eastAsia"/>
          <w:lang w:eastAsia="zh-CN"/>
        </w:rPr>
        <w:t>第10章：报告结论</w:t>
      </w:r>
    </w:p>
    <w:p>
      <w:pPr>
        <w:pStyle w:val="145"/>
        <w:rPr>
          <w:lang w:eastAsia="zh-CN"/>
        </w:rPr>
      </w:pPr>
    </w:p>
    <w:sectPr>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panose1 w:val="02040602050305030304"/>
    <w:charset w:val="00"/>
    <w:family w:val="roman"/>
    <w:pitch w:val="default"/>
    <w:sig w:usb0="00000287" w:usb1="00000000" w:usb2="00000000" w:usb3="00000000" w:csb0="2000009F" w:csb1="DFD7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Frutiger">
    <w:altName w:val="Cambria"/>
    <w:panose1 w:val="00000000000000000000"/>
    <w:charset w:val="00"/>
    <w:family w:val="roman"/>
    <w:pitch w:val="default"/>
    <w:sig w:usb0="00000000" w:usb1="00000000" w:usb2="00000000" w:usb3="00000000" w:csb0="00000000"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entury Gothic">
    <w:panose1 w:val="020B0502020202020204"/>
    <w:charset w:val="00"/>
    <w:family w:val="swiss"/>
    <w:pitch w:val="default"/>
    <w:sig w:usb0="00000287" w:usb1="00000000" w:usb2="00000000" w:usb3="00000000" w:csb0="2000009F" w:csb1="DFD7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2" o:spid="_x0000_s1032" o:spt="75" type="#_x0000_t75" style="position:absolute;left:0pt;height:238.85pt;width:481.85pt;mso-position-horizontal:center;mso-position-horizontal-relative:margin;mso-position-vertical:center;mso-position-vertical-relative:margin;z-index:-25165209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1" o:spid="_x0000_s1031" o:spt="75" type="#_x0000_t75" style="position:absolute;left:0pt;height:238.85pt;width:481.85pt;mso-position-horizontal:center;mso-position-horizontal-relative:margin;mso-position-vertical:center;mso-position-vertical-relative:margin;z-index:-251653120;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footnotePr>
    <w:footnote w:id="0"/>
    <w:footnote w:id="1"/>
  </w:foot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MDYzNTE3ZmJhYmZjY2ZiNzUxNTI1ZTRkNzNkYTA1OTIifQ=="/>
  </w:docVars>
  <w:rsids>
    <w:rsidRoot w:val="00D33EE2"/>
    <w:rsid w:val="000002E5"/>
    <w:rsid w:val="0000037A"/>
    <w:rsid w:val="0000040F"/>
    <w:rsid w:val="00000507"/>
    <w:rsid w:val="0000064D"/>
    <w:rsid w:val="00000877"/>
    <w:rsid w:val="00000A89"/>
    <w:rsid w:val="00000CBB"/>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4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816"/>
    <w:rsid w:val="00080CA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F08"/>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D99"/>
    <w:rsid w:val="000E2F79"/>
    <w:rsid w:val="000E307E"/>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53F"/>
    <w:rsid w:val="001617F2"/>
    <w:rsid w:val="00161985"/>
    <w:rsid w:val="00161EE9"/>
    <w:rsid w:val="001620CC"/>
    <w:rsid w:val="0016218C"/>
    <w:rsid w:val="00162607"/>
    <w:rsid w:val="00162919"/>
    <w:rsid w:val="00162974"/>
    <w:rsid w:val="00162E2A"/>
    <w:rsid w:val="00162E99"/>
    <w:rsid w:val="0016306F"/>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40"/>
    <w:rsid w:val="002731F2"/>
    <w:rsid w:val="002731F3"/>
    <w:rsid w:val="00273367"/>
    <w:rsid w:val="00273524"/>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A3C"/>
    <w:rsid w:val="002B1CB6"/>
    <w:rsid w:val="002B1CDF"/>
    <w:rsid w:val="002B23E5"/>
    <w:rsid w:val="002B248B"/>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5D3"/>
    <w:rsid w:val="00391663"/>
    <w:rsid w:val="00391699"/>
    <w:rsid w:val="00391B68"/>
    <w:rsid w:val="00391D60"/>
    <w:rsid w:val="00392349"/>
    <w:rsid w:val="003928F7"/>
    <w:rsid w:val="00392C60"/>
    <w:rsid w:val="00392E43"/>
    <w:rsid w:val="00392E8E"/>
    <w:rsid w:val="00392F2F"/>
    <w:rsid w:val="003935AB"/>
    <w:rsid w:val="003936EA"/>
    <w:rsid w:val="0039461A"/>
    <w:rsid w:val="0039477D"/>
    <w:rsid w:val="00394BE5"/>
    <w:rsid w:val="0039500B"/>
    <w:rsid w:val="003951FF"/>
    <w:rsid w:val="0039526A"/>
    <w:rsid w:val="00395A25"/>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D5C"/>
    <w:rsid w:val="004A019C"/>
    <w:rsid w:val="004A01EF"/>
    <w:rsid w:val="004A0312"/>
    <w:rsid w:val="004A031D"/>
    <w:rsid w:val="004A0486"/>
    <w:rsid w:val="004A0693"/>
    <w:rsid w:val="004A07F5"/>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2F6"/>
    <w:rsid w:val="0057548A"/>
    <w:rsid w:val="00575A51"/>
    <w:rsid w:val="00575ABA"/>
    <w:rsid w:val="00575BBB"/>
    <w:rsid w:val="00575C35"/>
    <w:rsid w:val="00575C56"/>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20E"/>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F68"/>
    <w:rsid w:val="00593FB5"/>
    <w:rsid w:val="00594158"/>
    <w:rsid w:val="005946FB"/>
    <w:rsid w:val="0059473F"/>
    <w:rsid w:val="00594BD4"/>
    <w:rsid w:val="00594E8D"/>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6C"/>
    <w:rsid w:val="00630BE1"/>
    <w:rsid w:val="00630F3B"/>
    <w:rsid w:val="006312F7"/>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30D1"/>
    <w:rsid w:val="00803210"/>
    <w:rsid w:val="008036EB"/>
    <w:rsid w:val="008046ED"/>
    <w:rsid w:val="008049AE"/>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3AF"/>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765"/>
    <w:rsid w:val="008D579E"/>
    <w:rsid w:val="008D58DE"/>
    <w:rsid w:val="008D5C61"/>
    <w:rsid w:val="008D5D83"/>
    <w:rsid w:val="008D5E2A"/>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F7D"/>
    <w:rsid w:val="009920F9"/>
    <w:rsid w:val="00992271"/>
    <w:rsid w:val="009922D6"/>
    <w:rsid w:val="009922FF"/>
    <w:rsid w:val="009924F7"/>
    <w:rsid w:val="0099257C"/>
    <w:rsid w:val="009926E7"/>
    <w:rsid w:val="00992EC2"/>
    <w:rsid w:val="00993111"/>
    <w:rsid w:val="009939DE"/>
    <w:rsid w:val="00993B09"/>
    <w:rsid w:val="00993B2B"/>
    <w:rsid w:val="00993B71"/>
    <w:rsid w:val="00993F7B"/>
    <w:rsid w:val="009940CC"/>
    <w:rsid w:val="00994210"/>
    <w:rsid w:val="009943D4"/>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38E"/>
    <w:rsid w:val="00A823D4"/>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5E6"/>
    <w:rsid w:val="00BF4930"/>
    <w:rsid w:val="00BF49B6"/>
    <w:rsid w:val="00BF4B1C"/>
    <w:rsid w:val="00BF4BBE"/>
    <w:rsid w:val="00BF4DD4"/>
    <w:rsid w:val="00BF5212"/>
    <w:rsid w:val="00BF55BD"/>
    <w:rsid w:val="00BF5880"/>
    <w:rsid w:val="00BF5B3C"/>
    <w:rsid w:val="00BF5C03"/>
    <w:rsid w:val="00BF5E54"/>
    <w:rsid w:val="00BF5E6B"/>
    <w:rsid w:val="00BF5E7D"/>
    <w:rsid w:val="00BF5EEE"/>
    <w:rsid w:val="00BF6054"/>
    <w:rsid w:val="00BF60BC"/>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70E"/>
    <w:rsid w:val="00C65A91"/>
    <w:rsid w:val="00C66228"/>
    <w:rsid w:val="00C664AF"/>
    <w:rsid w:val="00C6670D"/>
    <w:rsid w:val="00C66968"/>
    <w:rsid w:val="00C66C4B"/>
    <w:rsid w:val="00C67027"/>
    <w:rsid w:val="00C670B2"/>
    <w:rsid w:val="00C6710D"/>
    <w:rsid w:val="00C67194"/>
    <w:rsid w:val="00C675EA"/>
    <w:rsid w:val="00C679FE"/>
    <w:rsid w:val="00C700C4"/>
    <w:rsid w:val="00C700D2"/>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6016"/>
    <w:rsid w:val="00CA6097"/>
    <w:rsid w:val="00CA624B"/>
    <w:rsid w:val="00CA6D79"/>
    <w:rsid w:val="00CA6DDC"/>
    <w:rsid w:val="00CA6DEA"/>
    <w:rsid w:val="00CA6EF5"/>
    <w:rsid w:val="00CA700F"/>
    <w:rsid w:val="00CA70AA"/>
    <w:rsid w:val="00CA748A"/>
    <w:rsid w:val="00CA74CA"/>
    <w:rsid w:val="00CA792B"/>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503"/>
    <w:rsid w:val="00E13565"/>
    <w:rsid w:val="00E13A5C"/>
    <w:rsid w:val="00E13BFB"/>
    <w:rsid w:val="00E13F32"/>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4053"/>
    <w:rsid w:val="00F7426F"/>
    <w:rsid w:val="00F7430B"/>
    <w:rsid w:val="00F74407"/>
    <w:rsid w:val="00F7442A"/>
    <w:rsid w:val="00F74A49"/>
    <w:rsid w:val="00F74FAF"/>
    <w:rsid w:val="00F75106"/>
    <w:rsid w:val="00F7524D"/>
    <w:rsid w:val="00F7550A"/>
    <w:rsid w:val="00F7557B"/>
    <w:rsid w:val="00F75813"/>
    <w:rsid w:val="00F7583F"/>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17452651"/>
    <w:rsid w:val="2A1C20EF"/>
    <w:rsid w:val="2A943818"/>
    <w:rsid w:val="35052D1F"/>
    <w:rsid w:val="57F5327D"/>
    <w:rsid w:val="79022964"/>
    <w:rsid w:val="7B6A2E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semiHidden/>
    <w:unhideWhenUsed/>
    <w:qFormat/>
    <w:uiPriority w:val="1"/>
  </w:style>
  <w:style w:type="table" w:default="1" w:styleId="34">
    <w:name w:val="Normal Table"/>
    <w:semiHidden/>
    <w:unhideWhenUsed/>
    <w:qFormat/>
    <w:uiPriority w:val="99"/>
    <w:tblPr>
      <w:tblCellMar>
        <w:top w:w="0" w:type="dxa"/>
        <w:left w:w="108" w:type="dxa"/>
        <w:bottom w:w="0" w:type="dxa"/>
        <w:right w:w="108" w:type="dxa"/>
      </w:tblCellMar>
    </w:tblPr>
  </w:style>
  <w:style w:type="paragraph" w:styleId="10">
    <w:name w:val="toc 7"/>
    <w:basedOn w:val="1"/>
    <w:next w:val="1"/>
    <w:unhideWhenUsed/>
    <w:qFormat/>
    <w:uiPriority w:val="39"/>
    <w:pPr>
      <w:ind w:left="2520" w:leftChars="1200"/>
    </w:pPr>
  </w:style>
  <w:style w:type="paragraph" w:styleId="11">
    <w:name w:val="Document Map"/>
    <w:basedOn w:val="1"/>
    <w:link w:val="91"/>
    <w:qFormat/>
    <w:uiPriority w:val="0"/>
    <w:pPr>
      <w:shd w:val="clear" w:color="auto" w:fill="000080"/>
    </w:pPr>
    <w:rPr>
      <w:rFonts w:asciiTheme="minorHAnsi" w:hAnsiTheme="minorHAnsi"/>
    </w:rPr>
  </w:style>
  <w:style w:type="paragraph" w:styleId="12">
    <w:name w:val="annotation text"/>
    <w:basedOn w:val="1"/>
    <w:link w:val="116"/>
    <w:unhideWhenUsed/>
    <w:qFormat/>
    <w:uiPriority w:val="0"/>
    <w:pPr>
      <w:jc w:val="left"/>
    </w:pPr>
  </w:style>
  <w:style w:type="paragraph" w:styleId="13">
    <w:name w:val="Body Text"/>
    <w:basedOn w:val="1"/>
    <w:link w:val="112"/>
    <w:qFormat/>
    <w:uiPriority w:val="1"/>
    <w:pPr>
      <w:jc w:val="left"/>
    </w:pPr>
    <w:rPr>
      <w:rFonts w:eastAsia="Arial" w:cs="Arial"/>
      <w:kern w:val="0"/>
      <w:sz w:val="53"/>
      <w:szCs w:val="53"/>
      <w:lang w:eastAsia="en-US"/>
    </w:rPr>
  </w:style>
  <w:style w:type="paragraph" w:styleId="14">
    <w:name w:val="toc 5"/>
    <w:basedOn w:val="1"/>
    <w:next w:val="1"/>
    <w:unhideWhenUsed/>
    <w:qFormat/>
    <w:uiPriority w:val="39"/>
    <w:pPr>
      <w:ind w:left="1680" w:leftChars="800"/>
    </w:pPr>
  </w:style>
  <w:style w:type="paragraph" w:styleId="15">
    <w:name w:val="toc 3"/>
    <w:basedOn w:val="1"/>
    <w:next w:val="1"/>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qFormat/>
    <w:uiPriority w:val="0"/>
    <w:rPr>
      <w:rFonts w:ascii="宋体" w:hAnsi="Courier New" w:cs="Courier New"/>
    </w:rPr>
  </w:style>
  <w:style w:type="paragraph" w:styleId="17">
    <w:name w:val="toc 8"/>
    <w:basedOn w:val="1"/>
    <w:next w:val="1"/>
    <w:unhideWhenUsed/>
    <w:qFormat/>
    <w:uiPriority w:val="39"/>
    <w:pPr>
      <w:ind w:left="2940" w:leftChars="1400"/>
    </w:pPr>
  </w:style>
  <w:style w:type="paragraph" w:styleId="18">
    <w:name w:val="Date"/>
    <w:basedOn w:val="1"/>
    <w:next w:val="1"/>
    <w:link w:val="120"/>
    <w:qFormat/>
    <w:uiPriority w:val="0"/>
    <w:pPr>
      <w:ind w:left="100" w:leftChars="2500"/>
    </w:pPr>
  </w:style>
  <w:style w:type="paragraph" w:styleId="19">
    <w:name w:val="endnote text"/>
    <w:basedOn w:val="1"/>
    <w:link w:val="140"/>
    <w:semiHidden/>
    <w:unhideWhenUsed/>
    <w:qFormat/>
    <w:uiPriority w:val="99"/>
    <w:pPr>
      <w:snapToGrid w:val="0"/>
      <w:jc w:val="left"/>
    </w:pPr>
  </w:style>
  <w:style w:type="paragraph" w:styleId="20">
    <w:name w:val="Balloon Text"/>
    <w:basedOn w:val="1"/>
    <w:link w:val="104"/>
    <w:unhideWhenUsed/>
    <w:qFormat/>
    <w:uiPriority w:val="99"/>
    <w:rPr>
      <w:rFonts w:cs="Arial"/>
      <w:kern w:val="0"/>
      <w:sz w:val="18"/>
      <w:szCs w:val="18"/>
      <w:lang w:eastAsia="en-US"/>
    </w:rPr>
  </w:style>
  <w:style w:type="paragraph" w:styleId="21">
    <w:name w:val="footer"/>
    <w:basedOn w:val="1"/>
    <w:link w:val="74"/>
    <w:unhideWhenUsed/>
    <w:qFormat/>
    <w:uiPriority w:val="99"/>
    <w:pPr>
      <w:tabs>
        <w:tab w:val="center" w:pos="4153"/>
        <w:tab w:val="right" w:pos="8306"/>
      </w:tabs>
      <w:snapToGrid w:val="0"/>
      <w:jc w:val="left"/>
    </w:pPr>
    <w:rPr>
      <w:sz w:val="18"/>
      <w:szCs w:val="18"/>
    </w:rPr>
  </w:style>
  <w:style w:type="paragraph" w:styleId="22">
    <w:name w:val="header"/>
    <w:basedOn w:val="1"/>
    <w:link w:val="73"/>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qFormat/>
    <w:uiPriority w:val="39"/>
    <w:pPr>
      <w:ind w:left="867" w:leftChars="300" w:hanging="567"/>
    </w:pPr>
    <w:rPr>
      <w:color w:val="203864" w:themeColor="accent5" w:themeShade="80"/>
      <w:sz w:val="20"/>
    </w:rPr>
  </w:style>
  <w:style w:type="paragraph" w:styleId="26">
    <w:name w:val="Subtitle"/>
    <w:basedOn w:val="1"/>
    <w:next w:val="1"/>
    <w:link w:val="101"/>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unhideWhenUsed/>
    <w:qFormat/>
    <w:uiPriority w:val="39"/>
  </w:style>
  <w:style w:type="paragraph" w:styleId="28">
    <w:name w:val="table of figures"/>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unhideWhenUsed/>
    <w:qFormat/>
    <w:uiPriority w:val="39"/>
    <w:pPr>
      <w:ind w:left="3360" w:leftChars="1600"/>
    </w:pPr>
  </w:style>
  <w:style w:type="paragraph" w:styleId="31">
    <w:name w:val="Normal (Web)"/>
    <w:basedOn w:val="1"/>
    <w:unhideWhenUsed/>
    <w:qFormat/>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qFormat/>
    <w:uiPriority w:val="0"/>
    <w:pPr>
      <w:jc w:val="left"/>
    </w:pPr>
    <w:rPr>
      <w:b/>
      <w:bCs/>
    </w:rPr>
  </w:style>
  <w:style w:type="table" w:styleId="35">
    <w:name w:val="Table Grid"/>
    <w:basedOn w:val="34"/>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qFormat/>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qFormat/>
    <w:uiPriority w:val="22"/>
    <w:rPr>
      <w:b/>
      <w:bCs/>
    </w:rPr>
  </w:style>
  <w:style w:type="character" w:styleId="69">
    <w:name w:val="endnote reference"/>
    <w:basedOn w:val="67"/>
    <w:semiHidden/>
    <w:unhideWhenUsed/>
    <w:qFormat/>
    <w:uiPriority w:val="99"/>
    <w:rPr>
      <w:vertAlign w:val="superscript"/>
    </w:rPr>
  </w:style>
  <w:style w:type="character" w:styleId="70">
    <w:name w:val="Emphasis"/>
    <w:qFormat/>
    <w:uiPriority w:val="0"/>
    <w:rPr>
      <w:i/>
      <w:iCs/>
    </w:rPr>
  </w:style>
  <w:style w:type="character" w:styleId="71">
    <w:name w:val="Hyperlink"/>
    <w:unhideWhenUsed/>
    <w:qFormat/>
    <w:uiPriority w:val="99"/>
    <w:rPr>
      <w:color w:val="0000FF"/>
      <w:u w:val="single"/>
    </w:rPr>
  </w:style>
  <w:style w:type="character" w:styleId="72">
    <w:name w:val="annotation reference"/>
    <w:qFormat/>
    <w:uiPriority w:val="0"/>
    <w:rPr>
      <w:sz w:val="21"/>
      <w:szCs w:val="21"/>
    </w:rPr>
  </w:style>
  <w:style w:type="character" w:customStyle="1" w:styleId="73">
    <w:name w:val="页眉 字符"/>
    <w:basedOn w:val="67"/>
    <w:link w:val="22"/>
    <w:qFormat/>
    <w:uiPriority w:val="99"/>
    <w:rPr>
      <w:sz w:val="18"/>
      <w:szCs w:val="18"/>
    </w:rPr>
  </w:style>
  <w:style w:type="character" w:customStyle="1" w:styleId="74">
    <w:name w:val="页脚 字符"/>
    <w:basedOn w:val="67"/>
    <w:link w:val="21"/>
    <w:qFormat/>
    <w:uiPriority w:val="99"/>
    <w:rPr>
      <w:sz w:val="18"/>
      <w:szCs w:val="18"/>
    </w:rPr>
  </w:style>
  <w:style w:type="character" w:customStyle="1" w:styleId="75">
    <w:name w:val="标题 1 字符"/>
    <w:basedOn w:val="67"/>
    <w:qFormat/>
    <w:uiPriority w:val="9"/>
    <w:rPr>
      <w:rFonts w:ascii="Times New Roman" w:hAnsi="Times New Roman" w:eastAsia="Times New Roman" w:cs="Times New Roman"/>
      <w:b/>
      <w:bCs/>
      <w:kern w:val="44"/>
      <w:sz w:val="44"/>
      <w:szCs w:val="44"/>
    </w:rPr>
  </w:style>
  <w:style w:type="character" w:customStyle="1" w:styleId="76">
    <w:name w:val="标题 2 字符"/>
    <w:basedOn w:val="67"/>
    <w:qFormat/>
    <w:uiPriority w:val="9"/>
    <w:rPr>
      <w:rFonts w:asciiTheme="majorHAnsi" w:hAnsiTheme="majorHAnsi" w:eastAsiaTheme="majorEastAsia" w:cstheme="majorBidi"/>
      <w:b/>
      <w:bCs/>
      <w:sz w:val="32"/>
      <w:szCs w:val="32"/>
    </w:rPr>
  </w:style>
  <w:style w:type="character" w:customStyle="1" w:styleId="77">
    <w:name w:val="标题 3 字符"/>
    <w:basedOn w:val="67"/>
    <w:qFormat/>
    <w:uiPriority w:val="9"/>
    <w:rPr>
      <w:rFonts w:ascii="Times New Roman" w:hAnsi="Times New Roman" w:eastAsia="Times New Roman" w:cs="Times New Roman"/>
      <w:b/>
      <w:bCs/>
      <w:sz w:val="32"/>
      <w:szCs w:val="32"/>
    </w:rPr>
  </w:style>
  <w:style w:type="character" w:customStyle="1" w:styleId="78">
    <w:name w:val="标题 4 字符"/>
    <w:basedOn w:val="67"/>
    <w:qFormat/>
    <w:uiPriority w:val="9"/>
    <w:rPr>
      <w:rFonts w:asciiTheme="majorHAnsi" w:hAnsiTheme="majorHAnsi" w:eastAsiaTheme="majorEastAsia" w:cstheme="majorBidi"/>
      <w:b/>
      <w:bCs/>
      <w:sz w:val="28"/>
      <w:szCs w:val="28"/>
    </w:rPr>
  </w:style>
  <w:style w:type="character" w:customStyle="1" w:styleId="79">
    <w:name w:val="标题 5 字符"/>
    <w:basedOn w:val="67"/>
    <w:qFormat/>
    <w:uiPriority w:val="9"/>
    <w:rPr>
      <w:rFonts w:ascii="Times New Roman" w:hAnsi="Times New Roman" w:eastAsia="Times New Roman" w:cs="Times New Roman"/>
      <w:b/>
      <w:bCs/>
      <w:sz w:val="28"/>
      <w:szCs w:val="28"/>
    </w:rPr>
  </w:style>
  <w:style w:type="character" w:customStyle="1" w:styleId="80">
    <w:name w:val="标题 6 字符"/>
    <w:basedOn w:val="67"/>
    <w:qFormat/>
    <w:uiPriority w:val="9"/>
    <w:rPr>
      <w:rFonts w:asciiTheme="majorHAnsi" w:hAnsiTheme="majorHAnsi" w:eastAsiaTheme="majorEastAsia" w:cstheme="majorBidi"/>
      <w:b/>
      <w:bCs/>
      <w:sz w:val="24"/>
      <w:szCs w:val="24"/>
    </w:rPr>
  </w:style>
  <w:style w:type="character" w:customStyle="1" w:styleId="81">
    <w:name w:val="标题 1 字符1"/>
    <w:link w:val="2"/>
    <w:qFormat/>
    <w:uiPriority w:val="9"/>
    <w:rPr>
      <w:rFonts w:ascii="Frutiger" w:hAnsi="Frutiger" w:eastAsia="宋体" w:cs="Calibri"/>
      <w:b/>
      <w:color w:val="FF8200"/>
      <w:kern w:val="0"/>
      <w:sz w:val="44"/>
      <w:szCs w:val="32"/>
      <w:lang w:val="en-IN" w:eastAsia="en-US"/>
    </w:rPr>
  </w:style>
  <w:style w:type="character" w:customStyle="1" w:styleId="82">
    <w:name w:val="标题 2 字符1"/>
    <w:link w:val="3"/>
    <w:qFormat/>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qFormat/>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qFormat/>
    <w:uiPriority w:val="9"/>
    <w:rPr>
      <w:rFonts w:ascii="Frutiger" w:hAnsi="Frutiger" w:eastAsia="宋体"/>
      <w:b/>
      <w:bCs/>
      <w:sz w:val="26"/>
      <w:szCs w:val="26"/>
      <w:lang w:val="zh-CN" w:eastAsia="zh-CN"/>
    </w:rPr>
  </w:style>
  <w:style w:type="character" w:customStyle="1" w:styleId="85">
    <w:name w:val="标题 5 字符1"/>
    <w:link w:val="6"/>
    <w:qFormat/>
    <w:uiPriority w:val="9"/>
    <w:rPr>
      <w:rFonts w:ascii="Frutiger" w:hAnsi="Frutiger" w:eastAsia="宋体"/>
      <w:b/>
      <w:bCs/>
      <w:sz w:val="28"/>
      <w:szCs w:val="28"/>
    </w:rPr>
  </w:style>
  <w:style w:type="character" w:customStyle="1" w:styleId="86">
    <w:name w:val="标题 6 字符1"/>
    <w:link w:val="7"/>
    <w:qFormat/>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qFormat/>
    <w:uiPriority w:val="0"/>
    <w:pPr>
      <w:ind w:left="420" w:hanging="420"/>
    </w:pPr>
    <w:rPr>
      <w:rFonts w:cs="宋体"/>
      <w:b/>
      <w:bCs/>
      <w:color w:val="FFFFFF"/>
      <w:szCs w:val="20"/>
    </w:rPr>
  </w:style>
  <w:style w:type="character" w:customStyle="1" w:styleId="89">
    <w:name w:val="页眉 Char"/>
    <w:qFormat/>
    <w:uiPriority w:val="0"/>
    <w:rPr>
      <w:rFonts w:ascii="Arial Unicode MS" w:hAnsi="Arial Unicode MS" w:eastAsia="微软雅黑"/>
      <w:kern w:val="2"/>
      <w:sz w:val="18"/>
      <w:szCs w:val="22"/>
    </w:rPr>
  </w:style>
  <w:style w:type="character" w:customStyle="1" w:styleId="90">
    <w:name w:val="页脚 Char"/>
    <w:qFormat/>
    <w:uiPriority w:val="99"/>
    <w:rPr>
      <w:rFonts w:ascii="Arial Unicode MS" w:hAnsi="Arial Unicode MS" w:eastAsia="微软雅黑"/>
      <w:kern w:val="2"/>
      <w:sz w:val="18"/>
      <w:szCs w:val="22"/>
    </w:rPr>
  </w:style>
  <w:style w:type="character" w:customStyle="1" w:styleId="91">
    <w:name w:val="文档结构图 字符1"/>
    <w:link w:val="11"/>
    <w:qFormat/>
    <w:uiPriority w:val="0"/>
    <w:rPr>
      <w:rFonts w:eastAsia="Times New Roman"/>
      <w:szCs w:val="21"/>
      <w:shd w:val="clear" w:color="auto" w:fill="000080"/>
    </w:rPr>
  </w:style>
  <w:style w:type="character" w:customStyle="1" w:styleId="92">
    <w:name w:val="文档结构图 字符"/>
    <w:basedOn w:val="67"/>
    <w:qFormat/>
    <w:uiPriority w:val="99"/>
    <w:rPr>
      <w:rFonts w:ascii="Microsoft YaHei UI" w:hAnsi="Times New Roman" w:eastAsia="Microsoft YaHei UI" w:cs="Times New Roman"/>
      <w:sz w:val="18"/>
      <w:szCs w:val="18"/>
    </w:rPr>
  </w:style>
  <w:style w:type="character" w:customStyle="1" w:styleId="93">
    <w:name w:val="文档结构图 Char1"/>
    <w:qFormat/>
    <w:uiPriority w:val="99"/>
    <w:rPr>
      <w:rFonts w:ascii="宋体" w:hAnsi="Arial Unicode MS"/>
      <w:kern w:val="2"/>
      <w:sz w:val="18"/>
      <w:szCs w:val="18"/>
    </w:rPr>
  </w:style>
  <w:style w:type="character" w:customStyle="1" w:styleId="94">
    <w:name w:val="纯文本 字符"/>
    <w:basedOn w:val="67"/>
    <w:qFormat/>
    <w:uiPriority w:val="99"/>
    <w:rPr>
      <w:rFonts w:hAnsi="Courier New" w:cs="Courier New" w:asciiTheme="minorEastAsia"/>
      <w:szCs w:val="21"/>
    </w:rPr>
  </w:style>
  <w:style w:type="paragraph" w:customStyle="1" w:styleId="95">
    <w:name w:val="_Style 48"/>
    <w:qFormat/>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qFormat/>
    <w:uiPriority w:val="10"/>
    <w:rPr>
      <w:rFonts w:asciiTheme="majorHAnsi" w:hAnsiTheme="majorHAnsi" w:eastAsiaTheme="majorEastAsia" w:cstheme="majorBidi"/>
      <w:b/>
      <w:bCs/>
      <w:sz w:val="32"/>
      <w:szCs w:val="32"/>
    </w:rPr>
  </w:style>
  <w:style w:type="character" w:customStyle="1" w:styleId="98">
    <w:name w:val="标题 字符1"/>
    <w:link w:val="32"/>
    <w:qFormat/>
    <w:uiPriority w:val="10"/>
    <w:rPr>
      <w:rFonts w:ascii="Cambria" w:hAnsi="Cambria" w:eastAsia="宋体" w:cs="Times New Roman"/>
      <w:b/>
      <w:bCs/>
      <w:sz w:val="32"/>
      <w:szCs w:val="32"/>
    </w:rPr>
  </w:style>
  <w:style w:type="paragraph" w:customStyle="1" w:styleId="99">
    <w:name w:val="Revision"/>
    <w:hidden/>
    <w:semiHidden/>
    <w:qFormat/>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qFormat/>
    <w:uiPriority w:val="11"/>
    <w:rPr>
      <w:b/>
      <w:bCs/>
      <w:kern w:val="28"/>
      <w:sz w:val="32"/>
      <w:szCs w:val="32"/>
    </w:rPr>
  </w:style>
  <w:style w:type="character" w:customStyle="1" w:styleId="101">
    <w:name w:val="副标题 字符1"/>
    <w:link w:val="26"/>
    <w:qFormat/>
    <w:uiPriority w:val="11"/>
    <w:rPr>
      <w:rFonts w:ascii="Cambria" w:hAnsi="Cambria" w:eastAsia="宋体" w:cs="Times New Roman"/>
      <w:b/>
      <w:bCs/>
      <w:kern w:val="28"/>
      <w:sz w:val="32"/>
      <w:szCs w:val="32"/>
    </w:rPr>
  </w:style>
  <w:style w:type="character" w:customStyle="1" w:styleId="102">
    <w:name w:val="@他1"/>
    <w:semiHidden/>
    <w:unhideWhenUsed/>
    <w:qFormat/>
    <w:uiPriority w:val="99"/>
    <w:rPr>
      <w:color w:val="2B579A"/>
      <w:shd w:val="clear" w:color="auto" w:fill="E6E6E6"/>
    </w:rPr>
  </w:style>
  <w:style w:type="character" w:customStyle="1" w:styleId="103">
    <w:name w:val="批注框文本 字符"/>
    <w:basedOn w:val="67"/>
    <w:qFormat/>
    <w:uiPriority w:val="99"/>
    <w:rPr>
      <w:rFonts w:ascii="Times New Roman" w:hAnsi="Times New Roman" w:eastAsia="Times New Roman" w:cs="Times New Roman"/>
      <w:sz w:val="18"/>
      <w:szCs w:val="18"/>
    </w:rPr>
  </w:style>
  <w:style w:type="character" w:customStyle="1" w:styleId="104">
    <w:name w:val="批注框文本 字符1"/>
    <w:link w:val="20"/>
    <w:qFormat/>
    <w:uiPriority w:val="99"/>
    <w:rPr>
      <w:rFonts w:ascii="Arial" w:hAnsi="Arial" w:eastAsia="Times New Roman" w:cs="Arial"/>
      <w:kern w:val="0"/>
      <w:sz w:val="18"/>
      <w:szCs w:val="18"/>
      <w:lang w:eastAsia="en-US"/>
    </w:rPr>
  </w:style>
  <w:style w:type="table" w:customStyle="1" w:styleId="105">
    <w:name w:val="网格表 4 - 着色 11"/>
    <w:basedOn w:val="34"/>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qFormat/>
    <w:uiPriority w:val="0"/>
    <w:rPr>
      <w:rFonts w:cs="宋体"/>
      <w:szCs w:val="20"/>
    </w:rPr>
  </w:style>
  <w:style w:type="paragraph" w:customStyle="1" w:styleId="107">
    <w:name w:val="样式 标题 5 + (中文) 宋体"/>
    <w:basedOn w:val="6"/>
    <w:qFormat/>
    <w:uiPriority w:val="0"/>
  </w:style>
  <w:style w:type="character" w:customStyle="1" w:styleId="108">
    <w:name w:val="纯文本 字符1"/>
    <w:link w:val="16"/>
    <w:qFormat/>
    <w:uiPriority w:val="0"/>
    <w:rPr>
      <w:rFonts w:ascii="宋体" w:hAnsi="Courier New" w:eastAsia="Times New Roman" w:cs="Courier New"/>
      <w:szCs w:val="21"/>
    </w:rPr>
  </w:style>
  <w:style w:type="table" w:customStyle="1" w:styleId="109">
    <w:name w:val="网格表 4 - 着色 12"/>
    <w:basedOn w:val="34"/>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qFormat/>
    <w:uiPriority w:val="99"/>
    <w:rPr>
      <w:rFonts w:ascii="Times New Roman" w:hAnsi="Times New Roman" w:eastAsia="Times New Roman" w:cs="Times New Roman"/>
      <w:szCs w:val="21"/>
    </w:rPr>
  </w:style>
  <w:style w:type="character" w:customStyle="1" w:styleId="112">
    <w:name w:val="正文文本 字符1"/>
    <w:link w:val="13"/>
    <w:qFormat/>
    <w:uiPriority w:val="1"/>
    <w:rPr>
      <w:rFonts w:ascii="Arial" w:hAnsi="Arial" w:eastAsia="Arial" w:cs="Arial"/>
      <w:kern w:val="0"/>
      <w:sz w:val="53"/>
      <w:szCs w:val="53"/>
      <w:lang w:eastAsia="en-US"/>
    </w:rPr>
  </w:style>
  <w:style w:type="paragraph" w:styleId="113">
    <w:name w:val="List Paragraph"/>
    <w:basedOn w:val="1"/>
    <w:link w:val="147"/>
    <w:qFormat/>
    <w:uiPriority w:val="1"/>
    <w:pPr>
      <w:jc w:val="left"/>
    </w:pPr>
    <w:rPr>
      <w:rFonts w:eastAsia="Arial" w:cs="Arial"/>
      <w:kern w:val="0"/>
      <w:szCs w:val="22"/>
      <w:lang w:eastAsia="en-US"/>
    </w:rPr>
  </w:style>
  <w:style w:type="paragraph" w:customStyle="1" w:styleId="114">
    <w:name w:val="Table Paragraph"/>
    <w:basedOn w:val="1"/>
    <w:qFormat/>
    <w:uiPriority w:val="1"/>
    <w:pPr>
      <w:jc w:val="left"/>
    </w:pPr>
    <w:rPr>
      <w:rFonts w:eastAsia="Arial" w:cs="Arial"/>
      <w:kern w:val="0"/>
      <w:szCs w:val="22"/>
      <w:lang w:eastAsia="en-US"/>
    </w:rPr>
  </w:style>
  <w:style w:type="character" w:customStyle="1" w:styleId="115">
    <w:name w:val="批注文字 字符"/>
    <w:basedOn w:val="67"/>
    <w:qFormat/>
    <w:uiPriority w:val="99"/>
    <w:rPr>
      <w:rFonts w:ascii="Times New Roman" w:hAnsi="Times New Roman" w:eastAsia="Times New Roman" w:cs="Times New Roman"/>
      <w:szCs w:val="21"/>
    </w:rPr>
  </w:style>
  <w:style w:type="character" w:customStyle="1" w:styleId="116">
    <w:name w:val="批注文字 字符1"/>
    <w:link w:val="12"/>
    <w:qFormat/>
    <w:uiPriority w:val="0"/>
    <w:rPr>
      <w:rFonts w:ascii="Times New Roman" w:hAnsi="Times New Roman" w:eastAsia="Times New Roman" w:cs="Times New Roman"/>
      <w:szCs w:val="21"/>
    </w:rPr>
  </w:style>
  <w:style w:type="character" w:customStyle="1" w:styleId="117">
    <w:name w:val="批注主题 字符"/>
    <w:basedOn w:val="115"/>
    <w:qFormat/>
    <w:uiPriority w:val="99"/>
    <w:rPr>
      <w:rFonts w:ascii="Times New Roman" w:hAnsi="Times New Roman" w:eastAsia="Times New Roman" w:cs="Times New Roman"/>
      <w:b/>
      <w:bCs/>
      <w:szCs w:val="21"/>
    </w:rPr>
  </w:style>
  <w:style w:type="character" w:customStyle="1" w:styleId="118">
    <w:name w:val="批注主题 字符1"/>
    <w:link w:val="33"/>
    <w:qFormat/>
    <w:uiPriority w:val="0"/>
    <w:rPr>
      <w:rFonts w:ascii="Times New Roman" w:hAnsi="Times New Roman" w:eastAsia="Times New Roman" w:cs="Times New Roman"/>
      <w:b/>
      <w:bCs/>
      <w:szCs w:val="21"/>
    </w:rPr>
  </w:style>
  <w:style w:type="character" w:customStyle="1" w:styleId="119">
    <w:name w:val="日期 字符"/>
    <w:basedOn w:val="67"/>
    <w:qFormat/>
    <w:uiPriority w:val="99"/>
    <w:rPr>
      <w:rFonts w:ascii="Times New Roman" w:hAnsi="Times New Roman" w:eastAsia="Times New Roman" w:cs="Times New Roman"/>
      <w:szCs w:val="21"/>
    </w:rPr>
  </w:style>
  <w:style w:type="character" w:customStyle="1" w:styleId="120">
    <w:name w:val="日期 字符1"/>
    <w:link w:val="18"/>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qFormat/>
    <w:uiPriority w:val="0"/>
    <w:pPr>
      <w:ind w:left="420" w:hanging="420"/>
    </w:pPr>
    <w:rPr>
      <w:rFonts w:cs="宋体"/>
      <w:szCs w:val="20"/>
    </w:rPr>
  </w:style>
  <w:style w:type="paragraph" w:customStyle="1" w:styleId="122">
    <w:name w:val="样式 标题 6 + 首行缩进:  1 字符"/>
    <w:basedOn w:val="7"/>
    <w:qFormat/>
    <w:uiPriority w:val="0"/>
    <w:rPr>
      <w:rFonts w:cs="宋体"/>
      <w:szCs w:val="20"/>
    </w:rPr>
  </w:style>
  <w:style w:type="paragraph" w:customStyle="1" w:styleId="123">
    <w:name w:val="样式 图表目录 + 左侧:  2 字符 悬挂缩进: 2 字符"/>
    <w:basedOn w:val="28"/>
    <w:qFormat/>
    <w:uiPriority w:val="0"/>
    <w:pPr>
      <w:ind w:left="842" w:hanging="422"/>
    </w:pPr>
    <w:rPr>
      <w:rFonts w:cs="宋体"/>
    </w:rPr>
  </w:style>
  <w:style w:type="paragraph" w:customStyle="1" w:styleId="124">
    <w:name w:val="样式 图表目录 + 左侧:  2 字符 悬挂缩进: 2 字符1"/>
    <w:basedOn w:val="28"/>
    <w:qFormat/>
    <w:uiPriority w:val="0"/>
    <w:rPr>
      <w:rFonts w:cs="宋体"/>
    </w:rPr>
  </w:style>
  <w:style w:type="paragraph" w:customStyle="1" w:styleId="125">
    <w:name w:val="样式 11 磅 右"/>
    <w:basedOn w:val="1"/>
    <w:next w:val="1"/>
    <w:qFormat/>
    <w:uiPriority w:val="0"/>
    <w:pPr>
      <w:jc w:val="right"/>
    </w:pPr>
    <w:rPr>
      <w:rFonts w:cs="宋体"/>
      <w:kern w:val="0"/>
      <w:szCs w:val="20"/>
    </w:rPr>
  </w:style>
  <w:style w:type="paragraph" w:customStyle="1" w:styleId="126">
    <w:name w:val="样式 10 磅 左"/>
    <w:basedOn w:val="1"/>
    <w:next w:val="1"/>
    <w:qFormat/>
    <w:uiPriority w:val="0"/>
    <w:pPr>
      <w:jc w:val="left"/>
    </w:pPr>
    <w:rPr>
      <w:rFonts w:cs="宋体"/>
      <w:kern w:val="0"/>
      <w:sz w:val="20"/>
      <w:szCs w:val="20"/>
    </w:rPr>
  </w:style>
  <w:style w:type="paragraph" w:customStyle="1" w:styleId="127">
    <w:name w:val="样式 10 磅 左1"/>
    <w:basedOn w:val="1"/>
    <w:next w:val="1"/>
    <w:qFormat/>
    <w:uiPriority w:val="0"/>
    <w:pPr>
      <w:jc w:val="left"/>
    </w:pPr>
    <w:rPr>
      <w:rFonts w:cs="宋体"/>
      <w:kern w:val="0"/>
      <w:sz w:val="20"/>
      <w:szCs w:val="20"/>
    </w:rPr>
  </w:style>
  <w:style w:type="paragraph" w:customStyle="1" w:styleId="128">
    <w:name w:val="样式 10 磅 左2"/>
    <w:basedOn w:val="1"/>
    <w:next w:val="1"/>
    <w:qFormat/>
    <w:uiPriority w:val="0"/>
    <w:pPr>
      <w:jc w:val="left"/>
    </w:pPr>
    <w:rPr>
      <w:rFonts w:cs="宋体"/>
      <w:kern w:val="0"/>
      <w:szCs w:val="20"/>
    </w:rPr>
  </w:style>
  <w:style w:type="paragraph" w:customStyle="1" w:styleId="129">
    <w:name w:val="样式 加粗 倾斜 左"/>
    <w:basedOn w:val="1"/>
    <w:next w:val="1"/>
    <w:qFormat/>
    <w:uiPriority w:val="0"/>
    <w:pPr>
      <w:jc w:val="left"/>
    </w:pPr>
    <w:rPr>
      <w:rFonts w:cs="宋体"/>
      <w:b/>
      <w:bCs/>
      <w:i/>
      <w:iCs/>
      <w:kern w:val="0"/>
      <w:szCs w:val="20"/>
    </w:rPr>
  </w:style>
  <w:style w:type="character" w:customStyle="1" w:styleId="130">
    <w:name w:val="apple-converted-space"/>
    <w:qFormat/>
    <w:uiPriority w:val="0"/>
  </w:style>
  <w:style w:type="paragraph" w:styleId="131">
    <w:name w:val="No Spacing"/>
    <w:link w:val="132"/>
    <w:qFormat/>
    <w:uiPriority w:val="1"/>
    <w:rPr>
      <w:rFonts w:ascii="Calibri" w:hAnsi="Calibri" w:eastAsia="宋体" w:cs="Times New Roman"/>
      <w:kern w:val="0"/>
      <w:sz w:val="22"/>
      <w:szCs w:val="21"/>
      <w:lang w:val="en-US" w:eastAsia="zh-CN" w:bidi="ar-SA"/>
    </w:rPr>
  </w:style>
  <w:style w:type="character" w:customStyle="1" w:styleId="132">
    <w:name w:val="无间隔 字符"/>
    <w:link w:val="131"/>
    <w:qFormat/>
    <w:uiPriority w:val="1"/>
    <w:rPr>
      <w:rFonts w:ascii="Calibri" w:hAnsi="Calibri" w:eastAsia="宋体" w:cs="Times New Roman"/>
      <w:kern w:val="0"/>
      <w:sz w:val="22"/>
    </w:rPr>
  </w:style>
  <w:style w:type="paragraph" w:customStyle="1" w:styleId="133">
    <w:name w:val="概述标题"/>
    <w:basedOn w:val="1"/>
    <w:qFormat/>
    <w:uiPriority w:val="0"/>
    <w:rPr>
      <w:b/>
    </w:rPr>
  </w:style>
  <w:style w:type="table" w:customStyle="1" w:styleId="134">
    <w:name w:val="网格表 4 - 着色 13"/>
    <w:basedOn w:val="34"/>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semiHidden/>
    <w:unhideWhenUsed/>
    <w:qFormat/>
    <w:uiPriority w:val="99"/>
    <w:rPr>
      <w:color w:val="605E5C"/>
      <w:shd w:val="clear" w:color="auto" w:fill="E1DFDD"/>
    </w:rPr>
  </w:style>
  <w:style w:type="character" w:customStyle="1" w:styleId="138">
    <w:name w:val="Bold text_1 Char"/>
    <w:link w:val="24"/>
    <w:qFormat/>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qFormat/>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semiHidden/>
    <w:qFormat/>
    <w:uiPriority w:val="99"/>
    <w:rPr>
      <w:rFonts w:ascii="Times New Roman" w:hAnsi="Times New Roman"/>
    </w:rPr>
  </w:style>
  <w:style w:type="character" w:customStyle="1" w:styleId="141">
    <w:name w:val="未处理的提及11"/>
    <w:basedOn w:val="67"/>
    <w:semiHidden/>
    <w:unhideWhenUsed/>
    <w:qFormat/>
    <w:uiPriority w:val="99"/>
    <w:rPr>
      <w:color w:val="605E5C"/>
      <w:shd w:val="clear" w:color="auto" w:fill="E1DFDD"/>
    </w:rPr>
  </w:style>
  <w:style w:type="character" w:customStyle="1" w:styleId="142">
    <w:name w:val="未处理的提及2"/>
    <w:basedOn w:val="67"/>
    <w:semiHidden/>
    <w:unhideWhenUsed/>
    <w:qFormat/>
    <w:uiPriority w:val="99"/>
    <w:rPr>
      <w:color w:val="605E5C"/>
      <w:shd w:val="clear" w:color="auto" w:fill="E1DFDD"/>
    </w:rPr>
  </w:style>
  <w:style w:type="paragraph" w:customStyle="1" w:styleId="143">
    <w:name w:val="Source"/>
    <w:basedOn w:val="1"/>
    <w:link w:val="144"/>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qFormat/>
    <w:uiPriority w:val="0"/>
    <w:pPr>
      <w:widowControl/>
      <w:topLinePunct w:val="0"/>
      <w:spacing w:before="240" w:after="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qFormat/>
    <w:uiPriority w:val="0"/>
    <w:rPr>
      <w:rFonts w:ascii="Times New Roman" w:hAnsi="Times New Roman" w:eastAsia="宋体"/>
      <w:color w:val="0D0D0D" w:themeColor="text1" w:themeTint="F2"/>
      <w:kern w:val="0"/>
      <w:sz w:val="22"/>
      <w:szCs w:val="22"/>
      <w:lang w:val="en-IN" w:eastAsia="en-US"/>
      <w14:textFill>
        <w14:solidFill>
          <w14:schemeClr w14:val="tx1">
            <w14:lumMod w14:val="95000"/>
            <w14:lumOff w14:val="5000"/>
          </w14:schemeClr>
        </w14:solidFill>
      </w14:textFill>
    </w:rPr>
  </w:style>
  <w:style w:type="character" w:customStyle="1" w:styleId="147">
    <w:name w:val="列表段落 字符"/>
    <w:basedOn w:val="67"/>
    <w:link w:val="113"/>
    <w:qFormat/>
    <w:uiPriority w:val="1"/>
    <w:rPr>
      <w:rFonts w:ascii="Arial" w:hAnsi="Arial" w:eastAsia="Arial" w:cs="Arial"/>
      <w:kern w:val="0"/>
      <w:sz w:val="22"/>
      <w:szCs w:val="22"/>
      <w:lang w:eastAsia="en-US"/>
    </w:rPr>
  </w:style>
  <w:style w:type="paragraph" w:customStyle="1" w:styleId="148">
    <w:name w:val="Figure Style"/>
    <w:basedOn w:val="113"/>
    <w:link w:val="150"/>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qFormat/>
    <w:uiPriority w:val="0"/>
    <w:rPr>
      <w:rFonts w:ascii="Frutiger" w:hAnsi="Frutiger" w:eastAsia="宋体"/>
      <w:b/>
      <w:color w:val="FF8200"/>
      <w:kern w:val="0"/>
      <w:szCs w:val="22"/>
      <w:lang w:val="en-IN" w:eastAsia="en-US"/>
    </w:rPr>
  </w:style>
  <w:style w:type="paragraph" w:customStyle="1" w:styleId="153">
    <w:name w:val="Table of Contents"/>
    <w:basedOn w:val="139"/>
    <w:link w:val="154"/>
    <w:qFormat/>
    <w:uiPriority w:val="0"/>
    <w:pPr>
      <w:pageBreakBefore/>
      <w:jc w:val="both"/>
    </w:pPr>
    <w:rPr>
      <w:szCs w:val="20"/>
    </w:rPr>
  </w:style>
  <w:style w:type="character" w:customStyle="1" w:styleId="154">
    <w:name w:val="Table of Contents Char"/>
    <w:basedOn w:val="67"/>
    <w:link w:val="153"/>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qFormat/>
    <w:uiPriority w:val="0"/>
    <w:pPr>
      <w:tabs>
        <w:tab w:val="right" w:pos="9736"/>
      </w:tabs>
    </w:pPr>
  </w:style>
  <w:style w:type="character" w:customStyle="1" w:styleId="157">
    <w:name w:val="TOC 2 字符"/>
    <w:basedOn w:val="67"/>
    <w:link w:val="29"/>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semiHidden/>
    <w:unhideWhenUsed/>
    <w:qFormat/>
    <w:uiPriority w:val="99"/>
    <w:rPr>
      <w:color w:val="605E5C"/>
      <w:shd w:val="clear" w:color="auto" w:fill="E1DFDD"/>
    </w:rPr>
  </w:style>
  <w:style w:type="table" w:customStyle="1" w:styleId="160">
    <w:name w:val="List Table 2 Accent 4"/>
    <w:basedOn w:val="34"/>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qFormat/>
    <w:uiPriority w:val="99"/>
    <w:rPr>
      <w:rFonts w:eastAsia="Times New Roman"/>
      <w:color w:val="00B050"/>
      <w:kern w:val="0"/>
      <w:sz w:val="20"/>
      <w:szCs w:val="20"/>
    </w:rPr>
  </w:style>
  <w:style w:type="character" w:customStyle="1" w:styleId="162">
    <w:name w:val="未处理的提及31"/>
    <w:basedOn w:val="67"/>
    <w:semiHidden/>
    <w:unhideWhenUsed/>
    <w:qFormat/>
    <w:uiPriority w:val="99"/>
    <w:rPr>
      <w:color w:val="605E5C"/>
      <w:shd w:val="clear" w:color="auto" w:fill="E1DFDD"/>
    </w:rPr>
  </w:style>
  <w:style w:type="paragraph" w:customStyle="1" w:styleId="163">
    <w:name w:val="Paragraph"/>
    <w:basedOn w:val="1"/>
    <w:link w:val="164"/>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semiHidden/>
    <w:unhideWhenUsed/>
    <w:qFormat/>
    <w:uiPriority w:val="99"/>
    <w:rPr>
      <w:color w:val="605E5C"/>
      <w:shd w:val="clear" w:color="auto" w:fill="E1DFDD"/>
    </w:rPr>
  </w:style>
  <w:style w:type="paragraph" w:customStyle="1" w:styleId="167">
    <w:name w:val="概述"/>
    <w:basedOn w:val="139"/>
    <w:link w:val="169"/>
    <w:qFormat/>
    <w:uiPriority w:val="0"/>
    <w:pPr>
      <w:keepNext/>
      <w:spacing w:after="120"/>
    </w:pPr>
    <w:rPr>
      <w:rFonts w:ascii="Tahoma" w:hAnsi="Tahoma" w:eastAsia="宋体"/>
      <w:caps w:val="0"/>
      <w:color w:val="FF8200"/>
      <w:sz w:val="24"/>
    </w:rPr>
  </w:style>
  <w:style w:type="character" w:customStyle="1" w:styleId="168">
    <w:name w:val="Style1 字符"/>
    <w:basedOn w:val="67"/>
    <w:link w:val="139"/>
    <w:qFormat/>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qFormat/>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qFormat/>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qFormat/>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qFormat/>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qFormat/>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semiHidden/>
    <w:unhideWhenUsed/>
    <w:qFormat/>
    <w:uiPriority w:val="99"/>
    <w:rPr>
      <w:color w:val="605E5C"/>
      <w:shd w:val="clear" w:color="auto" w:fill="E1DFDD"/>
    </w:rPr>
  </w:style>
  <w:style w:type="character" w:customStyle="1" w:styleId="192">
    <w:name w:val="标题 7 字符"/>
    <w:basedOn w:val="67"/>
    <w:link w:val="8"/>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semiHidden/>
    <w:qFormat/>
    <w:uiPriority w:val="9"/>
    <w:rPr>
      <w:rFonts w:asciiTheme="majorHAnsi" w:hAnsiTheme="majorHAnsi" w:eastAsiaTheme="majorEastAsia" w:cstheme="majorBidi"/>
      <w:sz w:val="24"/>
      <w:szCs w:val="24"/>
    </w:rPr>
  </w:style>
  <w:style w:type="character" w:customStyle="1" w:styleId="194">
    <w:name w:val="未处理的提及5"/>
    <w:basedOn w:val="67"/>
    <w:semiHidden/>
    <w:unhideWhenUsed/>
    <w:qFormat/>
    <w:uiPriority w:val="99"/>
    <w:rPr>
      <w:color w:val="605E5C"/>
      <w:shd w:val="clear" w:color="auto" w:fill="E1DFDD"/>
    </w:rPr>
  </w:style>
  <w:style w:type="table" w:customStyle="1" w:styleId="195">
    <w:name w:val="List Table 2 Accent 2"/>
    <w:basedOn w:val="34"/>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qFormat/>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qFormat/>
    <w:uiPriority w:val="99"/>
  </w:style>
  <w:style w:type="table" w:customStyle="1" w:styleId="201">
    <w:name w:val="List Table 2 Accent 5"/>
    <w:basedOn w:val="34"/>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chart" Target="charts/chart1.xml"/><Relationship Id="rId8" Type="http://schemas.openxmlformats.org/officeDocument/2006/relationships/image" Target="media/image3.png"/><Relationship Id="rId7" Type="http://schemas.openxmlformats.org/officeDocument/2006/relationships/image" Target="media/image2.jpeg"/><Relationship Id="rId6" Type="http://schemas.openxmlformats.org/officeDocument/2006/relationships/theme" Target="theme/theme1.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2.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chart" Target="charts/chart2.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charts/_rels/chart1.xml.rels><?xml version="1.0" encoding="UTF-8" standalone="yes"?>
<Relationships xmlns="http://schemas.openxmlformats.org/package/2006/relationships"><Relationship Id="rId4" Type="http://schemas.microsoft.com/office/2011/relationships/chartColorStyle" Target="colors2.xml"/><Relationship Id="rId3" Type="http://schemas.microsoft.com/office/2011/relationships/chartStyle" Target="style2.xml"/><Relationship Id="rId2" Type="http://schemas.openxmlformats.org/officeDocument/2006/relationships/chartUserShapes" Target="../drawings/drawing1.xml"/><Relationship Id="rId1" Type="http://schemas.openxmlformats.org/officeDocument/2006/relationships/oleObject" Target="file:///C:\Users\admin\Documents\tencent%20files\2537702024\filerecv\&#35266;&#28857;&#25968;&#25454;&#22270;&#34920;&#27169;&#26495;-&#20840;&#29699;20230927%20&#23454;&#20064;&#21516;&#23398;(1).xlsx" TargetMode="External"/></Relationships>
</file>

<file path=word/charts/_rels/chart2.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C:\Users\admin\Documents\tencent%20files\2537702024\filerecv\&#35266;&#28857;&#25968;&#25454;&#22270;&#34920;&#27169;&#26495;-&#20840;&#29699;20230927%20&#23454;&#20064;&#21516;&#23398;(1).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100" b="0" i="0" u="none" strike="noStrike" kern="1200" spc="0" baseline="0">
                <a:solidFill>
                  <a:schemeClr val="tx1">
                    <a:lumMod val="65000"/>
                    <a:lumOff val="35000"/>
                  </a:schemeClr>
                </a:solidFill>
                <a:latin typeface="+mn-lt"/>
                <a:ea typeface="+mn-ea"/>
                <a:cs typeface="+mn-cs"/>
              </a:defRPr>
            </a:pPr>
            <a:r>
              <a:rPr altLang="en-US" sz="1100">
                <a:latin typeface="Book Antiqua" panose="02040602050305030304" pitchFamily="1" charset="0"/>
              </a:rPr>
              <a:t>全球市场规模（百万美元）</a:t>
            </a:r>
            <a:endParaRPr lang="en-US" altLang="zh-CN" sz="1100">
              <a:latin typeface="Book Antiqua" panose="02040602050305030304" pitchFamily="1" charset="0"/>
            </a:endParaRPr>
          </a:p>
        </c:rich>
      </c:tx>
      <c:layout/>
      <c:overlay val="0"/>
      <c:spPr>
        <a:noFill/>
        <a:ln>
          <a:noFill/>
        </a:ln>
        <a:effectLst/>
      </c:spPr>
    </c:title>
    <c:autoTitleDeleted val="0"/>
    <c:plotArea>
      <c:layout>
        <c:manualLayout>
          <c:layoutTarget val="inner"/>
          <c:xMode val="edge"/>
          <c:yMode val="edge"/>
          <c:x val="0.0327413290250939"/>
          <c:y val="0.113705574579104"/>
          <c:w val="0.937283950617284"/>
          <c:h val="0.793030392156863"/>
        </c:manualLayout>
      </c:layout>
      <c:barChart>
        <c:barDir val="col"/>
        <c:grouping val="clustered"/>
        <c:varyColors val="0"/>
        <c:ser>
          <c:idx val="0"/>
          <c:order val="0"/>
          <c:tx>
            <c:strRef>
              <c:f>'[观点数据图表模板-全球20230927 实习同学(1).xlsx]全球总体'!$A$22</c:f>
              <c:strCache>
                <c:ptCount val="1"/>
                <c:pt idx="0">
                  <c:v>Global Market Size ($ Mn)</c:v>
                </c:pt>
              </c:strCache>
            </c:strRef>
          </c:tx>
          <c:spPr>
            <a:solidFill>
              <a:srgbClr val="002060"/>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numRef>
              <c:f>'[观点数据图表模板-全球20230927 实习同学(1).xlsx]全球总体'!$B$21:$D$21</c:f>
              <c:numCache>
                <c:formatCode>General</c:formatCode>
                <c:ptCount val="3"/>
                <c:pt idx="0">
                  <c:v>2018</c:v>
                </c:pt>
                <c:pt idx="1">
                  <c:v>2022</c:v>
                </c:pt>
                <c:pt idx="2">
                  <c:v>2029</c:v>
                </c:pt>
              </c:numCache>
            </c:numRef>
          </c:cat>
          <c:val>
            <c:numRef>
              <c:f>'[观点数据图表模板-全球20230927 实习同学(1).xlsx]全球总体'!$B$22:$D$22</c:f>
              <c:numCache>
                <c:formatCode>#,##0_ </c:formatCode>
                <c:ptCount val="3"/>
                <c:pt idx="0">
                  <c:v>151.96</c:v>
                </c:pt>
                <c:pt idx="1">
                  <c:v>291.55</c:v>
                </c:pt>
                <c:pt idx="2">
                  <c:v>968.16</c:v>
                </c:pt>
              </c:numCache>
            </c:numRef>
          </c:val>
        </c:ser>
        <c:dLbls>
          <c:showLegendKey val="0"/>
          <c:showVal val="1"/>
          <c:showCatName val="0"/>
          <c:showSerName val="0"/>
          <c:showPercent val="0"/>
          <c:showBubbleSize val="0"/>
        </c:dLbls>
        <c:gapWidth val="219"/>
        <c:overlap val="-27"/>
        <c:axId val="719571343"/>
        <c:axId val="481370671"/>
      </c:barChart>
      <c:catAx>
        <c:axId val="71957134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481370671"/>
        <c:crosses val="autoZero"/>
        <c:auto val="1"/>
        <c:lblAlgn val="ctr"/>
        <c:lblOffset val="100"/>
        <c:noMultiLvlLbl val="0"/>
      </c:catAx>
      <c:valAx>
        <c:axId val="481370671"/>
        <c:scaling>
          <c:orientation val="minMax"/>
        </c:scaling>
        <c:delete val="0"/>
        <c:axPos val="l"/>
        <c:majorGridlines>
          <c:spPr>
            <a:ln w="9525" cap="flat" cmpd="sng" algn="ctr">
              <a:noFill/>
              <a:round/>
            </a:ln>
            <a:effectLst/>
          </c:spPr>
        </c:majorGridlines>
        <c:numFmt formatCode="#,##0_ "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71957134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050" b="0" i="0" u="none" strike="noStrike" kern="1200" spc="0" baseline="0">
                <a:solidFill>
                  <a:schemeClr val="tx1">
                    <a:lumMod val="65000"/>
                    <a:lumOff val="35000"/>
                  </a:schemeClr>
                </a:solidFill>
                <a:latin typeface="Book Antiqua" panose="02040602050305030304" pitchFamily="1" charset="0"/>
                <a:ea typeface="+mn-ea"/>
                <a:cs typeface="+mn-cs"/>
              </a:defRPr>
            </a:pPr>
            <a:r>
              <a:rPr lang="zh-CN" altLang="en-US" sz="1050">
                <a:latin typeface="Book Antiqua" panose="02040602050305030304" pitchFamily="1" charset="0"/>
              </a:rPr>
              <a:t>全球市场主要企业排名</a:t>
            </a:r>
            <a:endParaRPr lang="en-US" altLang="zh-CN" sz="1050">
              <a:latin typeface="Book Antiqua" panose="02040602050305030304" pitchFamily="1" charset="0"/>
            </a:endParaRPr>
          </a:p>
        </c:rich>
      </c:tx>
      <c:layout>
        <c:manualLayout>
          <c:xMode val="edge"/>
          <c:yMode val="edge"/>
          <c:x val="0.332020778652668"/>
          <c:y val="0.0346320818516983"/>
        </c:manualLayout>
      </c:layout>
      <c:overlay val="0"/>
      <c:spPr>
        <a:noFill/>
        <a:ln>
          <a:noFill/>
        </a:ln>
        <a:effectLst/>
      </c:spPr>
    </c:title>
    <c:autoTitleDeleted val="0"/>
    <c:plotArea>
      <c:layout>
        <c:manualLayout>
          <c:layoutTarget val="inner"/>
          <c:xMode val="edge"/>
          <c:yMode val="edge"/>
          <c:x val="0.438"/>
          <c:y val="0.0982825804589407"/>
          <c:w val="0.535611111111111"/>
          <c:h val="0.872131620724491"/>
        </c:manualLayout>
      </c:layout>
      <c:barChart>
        <c:barDir val="bar"/>
        <c:grouping val="clustered"/>
        <c:varyColors val="1"/>
        <c:ser>
          <c:idx val="0"/>
          <c:order val="0"/>
          <c:tx>
            <c:strRef>
              <c:f>'[观点数据图表模板-全球20230927 实习同学(1).xlsx]企业排序'!$G$1</c:f>
              <c:strCache>
                <c:ptCount val="1"/>
                <c:pt idx="0">
                  <c:v>2022</c:v>
                </c:pt>
              </c:strCache>
            </c:strRef>
          </c:tx>
          <c:spPr/>
          <c:invertIfNegative val="0"/>
          <c:dPt>
            <c:idx val="0"/>
            <c:invertIfNegative val="0"/>
            <c:bubble3D val="0"/>
            <c:spPr>
              <a:solidFill>
                <a:schemeClr val="accent1"/>
              </a:solidFill>
              <a:ln>
                <a:noFill/>
              </a:ln>
              <a:effectLst/>
            </c:spPr>
          </c:dPt>
          <c:dPt>
            <c:idx val="1"/>
            <c:invertIfNegative val="0"/>
            <c:bubble3D val="0"/>
            <c:spPr>
              <a:solidFill>
                <a:schemeClr val="accent2"/>
              </a:solidFill>
              <a:ln>
                <a:noFill/>
              </a:ln>
              <a:effectLst/>
            </c:spPr>
          </c:dPt>
          <c:dPt>
            <c:idx val="2"/>
            <c:invertIfNegative val="0"/>
            <c:bubble3D val="0"/>
            <c:spPr>
              <a:solidFill>
                <a:schemeClr val="accent3"/>
              </a:solidFill>
              <a:ln>
                <a:noFill/>
              </a:ln>
              <a:effectLst/>
            </c:spPr>
          </c:dPt>
          <c:dPt>
            <c:idx val="3"/>
            <c:invertIfNegative val="0"/>
            <c:bubble3D val="0"/>
            <c:spPr>
              <a:solidFill>
                <a:schemeClr val="accent4"/>
              </a:solidFill>
              <a:ln>
                <a:noFill/>
              </a:ln>
              <a:effectLst/>
            </c:spPr>
          </c:dPt>
          <c:dPt>
            <c:idx val="4"/>
            <c:invertIfNegative val="0"/>
            <c:bubble3D val="0"/>
            <c:spPr>
              <a:solidFill>
                <a:schemeClr val="accent5"/>
              </a:solidFill>
              <a:ln>
                <a:noFill/>
              </a:ln>
              <a:effectLst/>
            </c:spPr>
          </c:dPt>
          <c:dPt>
            <c:idx val="5"/>
            <c:invertIfNegative val="0"/>
            <c:bubble3D val="0"/>
            <c:spPr>
              <a:solidFill>
                <a:schemeClr val="accent6"/>
              </a:solidFill>
              <a:ln>
                <a:noFill/>
              </a:ln>
              <a:effectLst/>
            </c:spPr>
          </c:dPt>
          <c:dPt>
            <c:idx val="6"/>
            <c:invertIfNegative val="0"/>
            <c:bubble3D val="0"/>
            <c:spPr>
              <a:solidFill>
                <a:schemeClr val="accent1">
                  <a:lumMod val="60000"/>
                </a:schemeClr>
              </a:solidFill>
              <a:ln>
                <a:noFill/>
              </a:ln>
              <a:effectLst/>
            </c:spPr>
          </c:dPt>
          <c:dPt>
            <c:idx val="7"/>
            <c:invertIfNegative val="0"/>
            <c:bubble3D val="0"/>
            <c:spPr>
              <a:solidFill>
                <a:schemeClr val="accent2">
                  <a:lumMod val="60000"/>
                </a:schemeClr>
              </a:solidFill>
              <a:ln>
                <a:noFill/>
              </a:ln>
              <a:effectLst/>
            </c:spPr>
          </c:dPt>
          <c:dPt>
            <c:idx val="8"/>
            <c:invertIfNegative val="0"/>
            <c:bubble3D val="0"/>
            <c:spPr>
              <a:solidFill>
                <a:schemeClr val="accent3">
                  <a:lumMod val="60000"/>
                </a:schemeClr>
              </a:solidFill>
              <a:ln>
                <a:noFill/>
              </a:ln>
              <a:effectLst/>
            </c:spPr>
          </c:dPt>
          <c:dPt>
            <c:idx val="9"/>
            <c:invertIfNegative val="0"/>
            <c:bubble3D val="0"/>
            <c:spPr>
              <a:solidFill>
                <a:schemeClr val="accent4">
                  <a:lumMod val="60000"/>
                </a:schemeClr>
              </a:solidFill>
              <a:ln>
                <a:noFill/>
              </a:ln>
              <a:effectLst/>
            </c:spPr>
          </c:dPt>
          <c:dPt>
            <c:idx val="10"/>
            <c:invertIfNegative val="0"/>
            <c:bubble3D val="0"/>
            <c:spPr>
              <a:solidFill>
                <a:schemeClr val="accent5">
                  <a:lumMod val="60000"/>
                </a:schemeClr>
              </a:solidFill>
              <a:ln>
                <a:noFill/>
              </a:ln>
              <a:effectLst/>
            </c:spPr>
          </c:dPt>
          <c:dPt>
            <c:idx val="11"/>
            <c:invertIfNegative val="0"/>
            <c:bubble3D val="0"/>
            <c:spPr>
              <a:solidFill>
                <a:schemeClr val="accent6">
                  <a:lumMod val="60000"/>
                </a:schemeClr>
              </a:solidFill>
              <a:ln>
                <a:noFill/>
              </a:ln>
              <a:effectLst/>
            </c:spPr>
          </c:dPt>
          <c:dLbls>
            <c:delete val="1"/>
          </c:dLbls>
          <c:cat>
            <c:strRef>
              <c:f>'[观点数据图表模板-全球20230927 实习同学(1).xlsx]企业排序'!$F$2:$F$13</c:f>
              <c:strCache>
                <c:ptCount val="12"/>
                <c:pt idx="0" c:formatCode="#,##0.00_ ">
                  <c:v>AptaBharat</c:v>
                </c:pt>
                <c:pt idx="1" c:formatCode="#,##0.00_ ">
                  <c:v>Ray Biotech</c:v>
                </c:pt>
                <c:pt idx="2" c:formatCode="#,##0.00_ ">
                  <c:v>NeoVentures Biotechnology</c:v>
                </c:pt>
                <c:pt idx="3" c:formatCode="#,##0.00_ ">
                  <c:v>Aptus Biotech</c:v>
                </c:pt>
                <c:pt idx="4" c:formatCode="#,##0.00_ ">
                  <c:v>Aptagen</c:v>
                </c:pt>
                <c:pt idx="5" c:formatCode="#,##0.00_ ">
                  <c:v>Aptamer Group</c:v>
                </c:pt>
                <c:pt idx="6" c:formatCode="#,##0.00_ ">
                  <c:v>Base Pair Biotechnologies</c:v>
                </c:pt>
                <c:pt idx="7" c:formatCode="#,##0.00_ ">
                  <c:v>Aptamer Sciences</c:v>
                </c:pt>
                <c:pt idx="8" c:formatCode="#,##0.00_ ">
                  <c:v>AM Biotechnologies</c:v>
                </c:pt>
                <c:pt idx="9" c:formatCode="#,##0.00_ ">
                  <c:v>SomaLogic</c:v>
                </c:pt>
                <c:pt idx="10" c:formatCode="#,##0.00_ ">
                  <c:v>Novaptech</c:v>
                </c:pt>
                <c:pt idx="11" c:formatCode="#,##0.00_ ">
                  <c:v>TriLink BioTechnologies</c:v>
                </c:pt>
              </c:strCache>
            </c:strRef>
          </c:cat>
          <c:val>
            <c:numRef>
              <c:f>'[观点数据图表模板-全球20230927 实习同学(1).xlsx]企业排序'!$G$2:$G$13</c:f>
              <c:numCache>
                <c:formatCode>#,##0.00_ </c:formatCode>
                <c:ptCount val="12"/>
                <c:pt idx="0">
                  <c:v>0.31</c:v>
                </c:pt>
                <c:pt idx="1" c:formatCode="General">
                  <c:v>0.65</c:v>
                </c:pt>
                <c:pt idx="2" c:formatCode="General">
                  <c:v>1.24</c:v>
                </c:pt>
                <c:pt idx="3" c:formatCode="General">
                  <c:v>1.31</c:v>
                </c:pt>
                <c:pt idx="4" c:formatCode="General">
                  <c:v>1.63</c:v>
                </c:pt>
                <c:pt idx="5" c:formatCode="General">
                  <c:v>2.37</c:v>
                </c:pt>
                <c:pt idx="6">
                  <c:v>2.66</c:v>
                </c:pt>
                <c:pt idx="7">
                  <c:v>3.01</c:v>
                </c:pt>
                <c:pt idx="8">
                  <c:v>3.8</c:v>
                </c:pt>
                <c:pt idx="9">
                  <c:v>4.44</c:v>
                </c:pt>
                <c:pt idx="10" c:formatCode="General">
                  <c:v>5.91</c:v>
                </c:pt>
                <c:pt idx="11">
                  <c:v>7.68</c:v>
                </c:pt>
              </c:numCache>
            </c:numRef>
          </c:val>
        </c:ser>
        <c:dLbls>
          <c:showLegendKey val="0"/>
          <c:showVal val="0"/>
          <c:showCatName val="0"/>
          <c:showSerName val="0"/>
          <c:showPercent val="0"/>
          <c:showBubbleSize val="0"/>
        </c:dLbls>
        <c:gapWidth val="75"/>
        <c:axId val="1272139183"/>
        <c:axId val="1326546959"/>
      </c:barChart>
      <c:catAx>
        <c:axId val="1272139183"/>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crossAx val="1326546959"/>
        <c:crosses val="autoZero"/>
        <c:auto val="1"/>
        <c:lblAlgn val="ctr"/>
        <c:lblOffset val="100"/>
        <c:noMultiLvlLbl val="0"/>
      </c:catAx>
      <c:valAx>
        <c:axId val="1326546959"/>
        <c:scaling>
          <c:orientation val="minMax"/>
        </c:scaling>
        <c:delete val="0"/>
        <c:axPos val="b"/>
        <c:majorGridlines>
          <c:spPr>
            <a:ln w="9525" cap="flat" cmpd="sng" algn="ctr">
              <a:noFill/>
              <a:round/>
            </a:ln>
            <a:effectLst/>
          </c:spPr>
        </c:majorGridlines>
        <c:numFmt formatCode="#,##0.00_ "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crossAx val="127213918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0.547138377107017</cdr:x>
      <cdr:y>0.226195426195426</cdr:y>
    </cdr:from>
    <cdr:to>
      <cdr:x>0.763524108192866</cdr:x>
      <cdr:y>0.687110187110187</cdr:y>
    </cdr:to>
    <cdr:grpSp>
      <cdr:nvGrpSpPr>
        <cdr:cNvPr id="2" name="组合 1"/>
        <cdr:cNvGrpSpPr/>
      </cdr:nvGrpSpPr>
      <cdr:grpSpPr xmlns:a="http://schemas.openxmlformats.org/drawingml/2006/main">
        <a:xfrm rot="439955">
          <a:off x="3386081" y="664164"/>
          <a:ext cx="1339149" cy="1353356"/>
          <a:chOff x="2889614" y="1442119"/>
          <a:chExt cx="817857" cy="353405"/>
        </a:xfrm>
        <a:solidFill>
          <a:srgbClr val="FFC000"/>
        </a:solidFill>
      </cdr:grpSpPr>
      <cdr:cxnSp>
        <cdr:nvCxnSpPr>
          <cdr:cNvPr id="3" name="直接箭头连接符 2"/>
          <cdr:cNvCxnSpPr/>
        </cdr:nvCxnSpPr>
        <cdr:spPr xmlns:a="http://schemas.openxmlformats.org/drawingml/2006/main">
          <a:xfrm xmlns:a="http://schemas.openxmlformats.org/drawingml/2006/main" rot="21160045" flipV="1">
            <a:off x="2889614" y="1442119"/>
            <a:ext cx="817857" cy="353405"/>
          </a:xfrm>
          <a:prstGeom xmlns:a="http://schemas.openxmlformats.org/drawingml/2006/main" prst="straightConnector1">
            <a:avLst/>
          </a:prstGeom>
          <a:grpFill/>
          <a:ln w="15875">
            <a:solidFill>
              <a:srgbClr val="002060"/>
            </a:solidFill>
            <a:tailEnd type="triangle"/>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sp>
        <cdr:nvSpPr>
          <cdr:cNvPr id="4" name="椭圆 3"/>
          <cdr:cNvSpPr/>
        </cdr:nvSpPr>
        <cdr:spPr xmlns:a="http://schemas.openxmlformats.org/drawingml/2006/main">
          <a:xfrm xmlns:a="http://schemas.openxmlformats.org/drawingml/2006/main" rot="18717599">
            <a:off x="3181957" y="1514250"/>
            <a:ext cx="202621" cy="229288"/>
          </a:xfrm>
          <a:prstGeom xmlns:a="http://schemas.openxmlformats.org/drawingml/2006/main" prst="ellipse">
            <a:avLst/>
          </a:prstGeom>
          <a:grpFill/>
          <a:ln w="12700">
            <a:noFill/>
          </a:ln>
        </cdr:spPr>
        <cdr:style>
          <a:lnRef xmlns:a="http://schemas.openxmlformats.org/drawingml/2006/main" idx="2">
            <a:schemeClr val="accent1">
              <a:shade val="15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xmlns:a="http://schemas.openxmlformats.org/drawingml/2006/main">
          <a:bodyPr vertOverflow="clip" vert="horz" wrap="none" lIns="45720" tIns="45720" rIns="45720" bIns="45720" anchor="ctr" anchorCtr="0">
            <a:normAutofit/>
          </a:bodyPr>
          <a:lstStyle/>
          <a:p>
            <a:pPr algn="ctr"/>
            <a:r>
              <a:rPr lang="en-US" altLang="zh-CN" sz="800" baseline="0">
                <a:solidFill>
                  <a:sysClr val="windowText" lastClr="000000"/>
                </a:solidFill>
                <a:latin typeface="Book Antiqua" panose="02040602050305030304" pitchFamily="1" charset="0"/>
                <a:ea typeface="宋体" panose="02010600030101010101" charset="-122"/>
              </a:rPr>
              <a:t>18.6%</a:t>
            </a:r>
            <a:endParaRPr lang="zh-CN" sz="800" baseline="0">
              <a:solidFill>
                <a:sysClr val="windowText" lastClr="000000"/>
              </a:solidFill>
              <a:latin typeface="Book Antiqua" panose="02040602050305030304" pitchFamily="1" charset="0"/>
              <a:ea typeface="宋体" panose="02010600030101010101" charset="-122"/>
            </a:endParaRPr>
          </a:p>
        </cdr:txBody>
      </cdr:sp>
    </cdr:grpSp>
  </cdr:relSizeAnchor>
  <cdr:relSizeAnchor xmlns:cdr="http://schemas.openxmlformats.org/drawingml/2006/chartDrawing">
    <cdr:from>
      <cdr:x>0.26577812622501</cdr:x>
      <cdr:y>0.576091476091476</cdr:y>
    </cdr:from>
    <cdr:to>
      <cdr:x>0.427773422187378</cdr:x>
      <cdr:y>0.88004158004158</cdr:y>
    </cdr:to>
    <cdr:grpSp>
      <cdr:nvGrpSpPr>
        <cdr:cNvPr id="5" name="组合 4"/>
        <cdr:cNvGrpSpPr/>
      </cdr:nvGrpSpPr>
      <cdr:grpSpPr xmlns:a="http://schemas.openxmlformats.org/drawingml/2006/main">
        <a:xfrm rot="1783323">
          <a:off x="1644824" y="1691543"/>
          <a:ext cx="1002542" cy="892470"/>
          <a:chOff x="3539816" y="2350577"/>
          <a:chExt cx="938191" cy="984793"/>
        </a:xfrm>
      </cdr:grpSpPr>
      <cdr:cxnSp>
        <cdr:nvCxnSpPr>
          <cdr:cNvPr id="6" name="直接箭头连接符 5"/>
          <cdr:cNvCxnSpPr/>
        </cdr:nvCxnSpPr>
        <cdr:spPr xmlns:a="http://schemas.openxmlformats.org/drawingml/2006/main">
          <a:xfrm xmlns:a="http://schemas.openxmlformats.org/drawingml/2006/main" flipV="1">
            <a:off x="3539816" y="2350577"/>
            <a:ext cx="938191" cy="984793"/>
          </a:xfrm>
          <a:prstGeom xmlns:a="http://schemas.openxmlformats.org/drawingml/2006/main" prst="straightConnector1">
            <a:avLst/>
          </a:prstGeom>
          <a:ln w="15875">
            <a:solidFill>
              <a:srgbClr val="002060"/>
            </a:solidFill>
            <a:tailEnd type="triangle"/>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sp>
        <cdr:nvSpPr>
          <cdr:cNvPr id="7" name="椭圆 6"/>
          <cdr:cNvSpPr/>
        </cdr:nvSpPr>
        <cdr:spPr xmlns:a="http://schemas.openxmlformats.org/drawingml/2006/main">
          <a:xfrm xmlns:a="http://schemas.openxmlformats.org/drawingml/2006/main" rot="18898943">
            <a:off x="3568484" y="2779911"/>
            <a:ext cx="689759" cy="266757"/>
          </a:xfrm>
          <a:prstGeom xmlns:a="http://schemas.openxmlformats.org/drawingml/2006/main" prst="ellipse">
            <a:avLst/>
          </a:prstGeom>
          <a:solidFill>
            <a:srgbClr val="FFC000"/>
          </a:solidFill>
          <a:ln w="12700">
            <a:noFill/>
          </a:ln>
        </cdr:spPr>
        <cdr:style>
          <a:lnRef xmlns:a="http://schemas.openxmlformats.org/drawingml/2006/main" idx="2">
            <a:schemeClr val="accent1">
              <a:shade val="15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xmlns:a="http://schemas.openxmlformats.org/drawingml/2006/main">
          <a:bodyPr vertOverflow="clip" vert="horz" wrap="none" lIns="45720" tIns="45720" rIns="45720" bIns="45720" anchor="ctr" anchorCtr="0">
            <a:normAutofit/>
          </a:bodyPr>
          <a:lstStyle/>
          <a:p>
            <a:pPr algn="ctr"/>
            <a:r>
              <a:rPr lang="en-US" altLang="zh-CN" sz="800">
                <a:solidFill>
                  <a:sysClr val="windowText" lastClr="000000"/>
                </a:solidFill>
              </a:rPr>
              <a:t>17.7%</a:t>
            </a:r>
            <a:endParaRPr lang="en-US" altLang="zh-CN" sz="800">
              <a:solidFill>
                <a:sysClr val="windowText" lastClr="000000"/>
              </a:solidFill>
            </a:endParaRPr>
          </a:p>
        </cdr:txBody>
      </cdr:sp>
    </cdr:grpSp>
  </cdr:relSizeAnchor>
</c:userShap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32"/>
    <customShpInfo spid="_x0000_s1031"/>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F19C77F-A8DE-416F-A2F8-FE3DCC1B32E5}">
  <ds:schemaRefs/>
</ds:datastoreItem>
</file>

<file path=docProps/app.xml><?xml version="1.0" encoding="utf-8"?>
<Properties xmlns="http://schemas.openxmlformats.org/officeDocument/2006/extended-properties" xmlns:vt="http://schemas.openxmlformats.org/officeDocument/2006/docPropsVTypes">
  <Template>Normal</Template>
  <Pages>4</Pages>
  <Words>131</Words>
  <Characters>751</Characters>
  <Lines>6</Lines>
  <Paragraphs>1</Paragraphs>
  <TotalTime>4</TotalTime>
  <ScaleCrop>false</ScaleCrop>
  <LinksUpToDate>false</LinksUpToDate>
  <CharactersWithSpaces>881</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2021-11-11T07:47:00Z</dcterms:created>
  <dc:creator>yangj</dc:creator>
  <cp:lastModifiedBy>*星*空夜@话</cp:lastModifiedBy>
  <dcterms:modified xsi:type="dcterms:W3CDTF">2023-10-09T07:01:44Z</dcterms:modified>
  <cp:revision>787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3F56F30E0C5D403A9726E2FF08970D6B_13</vt:lpwstr>
  </property>
</Properties>
</file>