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Calibri"/>
        </w:rPr>
      </w:pPr>
      <w:bookmarkStart w:id="0" w:name="_Hlk23501351"/>
      <w:bookmarkStart w:id="1" w:name="_Toc481801204"/>
      <w:bookmarkStart w:id="2" w:name="OLE_LINK13"/>
      <w:bookmarkStart w:id="3" w:name="_Toc418070112"/>
      <w:bookmarkStart w:id="4" w:name="OLE_LINK15"/>
      <w:bookmarkStart w:id="5" w:name="_Toc415818939"/>
      <w:bookmarkStart w:id="6" w:name="OLE_LINK40"/>
      <w:bookmarkStart w:id="7" w:name="_Toc415142861"/>
      <w:bookmarkStart w:id="8" w:name="_Toc415143481"/>
      <w:bookmarkStart w:id="9" w:name="OLE_LINK39"/>
      <w:bookmarkStart w:id="10" w:name="OLE_LINK24"/>
      <w:bookmarkStart w:id="11" w:name="_Toc453597319"/>
      <w:bookmarkStart w:id="12" w:name="_Toc438987549"/>
      <w:bookmarkStart w:id="13" w:name="_Toc517262917"/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8863965</wp:posOffset>
                </wp:positionV>
                <wp:extent cx="5048250" cy="327660"/>
                <wp:effectExtent l="0" t="0" r="0" b="0"/>
                <wp:wrapNone/>
                <wp:docPr id="1438" name="Text Box 1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278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szCs w:val="22"/>
                              </w:rPr>
                              <w:t>Copyright © QYResearch | market@qyresearch.com</w:t>
                            </w:r>
                            <w:r>
                              <w:rPr>
                                <w:rFonts w:hint="eastAsia"/>
                                <w:b/>
                                <w:szCs w:val="22"/>
                                <w:lang w:val="en-US" w:eastAsia="zh-CN"/>
                              </w:rPr>
                              <w:t>.cn</w:t>
                            </w:r>
                            <w:r>
                              <w:rPr>
                                <w:b/>
                                <w:szCs w:val="22"/>
                              </w:rPr>
                              <w:t xml:space="preserve"> | </w:t>
                            </w:r>
                            <w:r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www.qyresearch.com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38" o:spid="_x0000_s1026" o:spt="202" type="#_x0000_t202" style="position:absolute;left:0pt;margin-top:697.95pt;height:25.8pt;width:397.5pt;mso-position-horizontal:center;mso-position-horizontal-relative:margin;z-index:251659264;mso-width-relative:page;mso-height-relative:page;" filled="f" stroked="f" coordsize="21600,21600" o:gfxdata="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eRDn/toAAAAKAQAADwAAAAAAAAABACAAAAAiAAAAZHJzL2Rvd25yZXYu&#10;eG1sUEsBAhQAFAAAAAgAh07iQMHwJl0yAgAAeQ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b/>
                          <w:szCs w:val="22"/>
                        </w:rPr>
                        <w:t>Copyright © QYResearch | market@qyresearch.com</w:t>
                      </w:r>
                      <w:r>
                        <w:rPr>
                          <w:rFonts w:hint="eastAsia"/>
                          <w:b/>
                          <w:szCs w:val="22"/>
                          <w:lang w:val="en-US" w:eastAsia="zh-CN"/>
                        </w:rPr>
                        <w:t>.cn</w:t>
                      </w:r>
                      <w:r>
                        <w:rPr>
                          <w:b/>
                          <w:szCs w:val="22"/>
                        </w:rPr>
                        <w:t xml:space="preserve"> | </w:t>
                      </w:r>
                      <w:r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www.qyresearch.com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-283845</wp:posOffset>
                </wp:positionH>
                <wp:positionV relativeFrom="paragraph">
                  <wp:posOffset>2054860</wp:posOffset>
                </wp:positionV>
                <wp:extent cx="6337300" cy="1769110"/>
                <wp:effectExtent l="0" t="0" r="0" b="2540"/>
                <wp:wrapNone/>
                <wp:docPr id="1346" name="Text Box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7005" cy="176942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  <w:t>碎石撒布机</w:t>
                            </w:r>
                          </w:p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全球市场研究报告</w:t>
                            </w: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2023-2029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79" o:spid="_x0000_s1026" o:spt="202" type="#_x0000_t202" style="position:absolute;left:0pt;margin-left:-22.35pt;margin-top:161.8pt;height:139.3pt;width:499pt;z-index:251660288;mso-width-relative:page;mso-height-relative:page;" filled="f" stroked="f" coordsize="21600,21600" o:gfxdata="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LvbpbNkA&#10;AAALAQAADwAAAAAAAAABACAAAAAiAAAAZHJzL2Rvd25yZXYueG1sUEsBAhQAFAAAAAgAh07iQBDM&#10;BnIeAgAAPAQAAA4AAAAAAAAAAQAgAAAAKAEAAGRycy9lMm9Eb2MueG1sUEsFBgAAAAAGAAYAWQEA&#10;ALg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</w:pP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  <w:t>碎石撒布机</w:t>
                      </w:r>
                    </w:p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全球市场研究报告</w:t>
                      </w: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2023-2029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-153035</wp:posOffset>
                </wp:positionH>
                <wp:positionV relativeFrom="paragraph">
                  <wp:posOffset>3918585</wp:posOffset>
                </wp:positionV>
                <wp:extent cx="4971415" cy="0"/>
                <wp:effectExtent l="0" t="19050" r="19685" b="19050"/>
                <wp:wrapNone/>
                <wp:docPr id="134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714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" o:spid="_x0000_s1026" o:spt="20" style="position:absolute;left:0pt;margin-left:-12.05pt;margin-top:308.55pt;height:0pt;width:391.45pt;z-index:251661312;mso-width-relative:page;mso-height-relative:page;" filled="f" stroked="t" coordsize="21600,21600" o:gfxdata="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Wn7DY2QAAAAsBAAAPAAAA&#10;AAAAAAEAIAAAACIAAABkcnMvZG93bnJldi54bWxQSwECFAAUAAAACACHTuJAS6AeHNsBAAC5AwAA&#10;DgAAAAAAAAABACAAAAAoAQAAZHJzL2Uyb0RvYy54bWxQSwUGAAAAAAYABgBZAQAAdQUAAAAA&#10;">
                <v:fill on="f" focussize="0,0"/>
                <v:stroke weight="2.25pt" color="#FFC000 [3207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-62230</wp:posOffset>
            </wp:positionH>
            <wp:positionV relativeFrom="page">
              <wp:posOffset>-37465</wp:posOffset>
            </wp:positionV>
            <wp:extent cx="7665085" cy="1073467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5079" cy="1073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</w:p>
    <w:bookmarkEnd w:id="0"/>
    <w:p>
      <w:pPr>
        <w:pStyle w:val="167"/>
        <w:rPr>
          <w:lang w:eastAsia="zh-CN"/>
        </w:rPr>
      </w:pPr>
      <w:r>
        <w:rPr>
          <w:lang w:eastAsia="zh-CN"/>
        </w:rPr>
        <w:t>碎石撒布机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预计到 2029 年，全球砂石撒布机的市场规模将从 2023 年的 2.0299 亿美元增至 2.6599 亿美元，2023-2029 年期间的复合年增长率为4.61%。预计到 2029 年，全球砂石撒布机的市场销量将从 2023 年的 10120 台增长到 13574 台，2023-2029 年的复合年增长率为 5.02%</w:t>
      </w:r>
    </w:p>
    <w:p>
      <w:pPr>
        <w:pStyle w:val="148"/>
        <w:rPr>
          <w:lang w:eastAsia="zh-CN"/>
        </w:rPr>
      </w:pPr>
      <w:r>
        <w:rPr>
          <w:lang w:eastAsia="zh-CN"/>
        </w:rPr>
        <w:t>碎石撒布机</w:t>
      </w:r>
      <w:r>
        <w:rPr>
          <w:rFonts w:hint="eastAsia"/>
          <w:lang w:eastAsia="zh-CN"/>
        </w:rPr>
        <w:t>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lang w:eastAsia="zh-CN"/>
        </w:rPr>
        <w:t>2.66</w:t>
      </w:r>
      <w:r>
        <w:rPr>
          <w:rFonts w:hint="eastAsia"/>
          <w:lang w:eastAsia="zh-CN"/>
        </w:rPr>
        <w:t>亿美元</w:t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188710" cy="2940685"/>
            <wp:effectExtent l="0" t="0" r="2540" b="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碎石撒布机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>
      <w:pPr>
        <w:pStyle w:val="145"/>
        <w:numPr>
          <w:ilvl w:val="0"/>
          <w:numId w:val="4"/>
        </w:numPr>
        <w:rPr>
          <w:lang w:eastAsia="zh-CN"/>
        </w:rPr>
      </w:pPr>
      <w:r>
        <w:rPr>
          <w:rFonts w:hint="eastAsia"/>
          <w:lang w:eastAsia="zh-CN"/>
        </w:rPr>
        <w:t>不断增长的建筑业推动了对砂石料撒布机的需求。</w:t>
      </w:r>
    </w:p>
    <w:p>
      <w:pPr>
        <w:pStyle w:val="145"/>
        <w:numPr>
          <w:ilvl w:val="0"/>
          <w:numId w:val="4"/>
        </w:numPr>
        <w:rPr>
          <w:lang w:eastAsia="zh-CN"/>
        </w:rPr>
      </w:pPr>
      <w:r>
        <w:rPr>
          <w:rFonts w:hint="eastAsia"/>
          <w:lang w:eastAsia="zh-CN"/>
        </w:rPr>
        <w:t>运输业是砂石料撒布机市场的主要驱动力之一。</w:t>
      </w:r>
    </w:p>
    <w:p>
      <w:pPr>
        <w:pStyle w:val="145"/>
        <w:numPr>
          <w:ilvl w:val="0"/>
          <w:numId w:val="4"/>
        </w:numPr>
        <w:rPr>
          <w:lang w:eastAsia="zh-CN"/>
        </w:rPr>
      </w:pPr>
      <w:r>
        <w:rPr>
          <w:rFonts w:hint="eastAsia"/>
          <w:lang w:eastAsia="zh-CN"/>
        </w:rPr>
        <w:t>对可持续做法的需求不断增长，增加了对用于农业和室外储藏区的砂石撒播机的需求。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主要阻碍因素</w:t>
      </w:r>
      <w:r>
        <w:rPr>
          <w:lang w:eastAsia="zh-CN"/>
        </w:rPr>
        <w:t>:</w:t>
      </w:r>
    </w:p>
    <w:p>
      <w:pPr>
        <w:pStyle w:val="145"/>
        <w:numPr>
          <w:ilvl w:val="0"/>
          <w:numId w:val="5"/>
        </w:numPr>
        <w:rPr>
          <w:lang w:eastAsia="zh-CN"/>
        </w:rPr>
      </w:pPr>
      <w:r>
        <w:rPr>
          <w:rFonts w:hint="eastAsia"/>
          <w:lang w:eastAsia="zh-CN"/>
        </w:rPr>
        <w:t>用途有限：砂石撒布机通常用于特定用途，如道路建设或农业工作。这意味着这些机器的市场可能仅限于某些行业，从而减少了总体需求。</w:t>
      </w:r>
    </w:p>
    <w:p>
      <w:pPr>
        <w:pStyle w:val="145"/>
        <w:numPr>
          <w:ilvl w:val="0"/>
          <w:numId w:val="5"/>
        </w:numPr>
        <w:rPr>
          <w:lang w:eastAsia="zh-CN"/>
        </w:rPr>
      </w:pPr>
      <w:r>
        <w:rPr>
          <w:rFonts w:hint="eastAsia"/>
          <w:lang w:eastAsia="zh-CN"/>
        </w:rPr>
        <w:t>维护和维修成本：砂石撒布机需要定期维护，以保持良好的工作状态。这包括更换磨损部件、润滑运动部件以及确保撒布装置正常工作。保养和维修费用会随着时间的推移而增加。</w:t>
      </w:r>
    </w:p>
    <w:p>
      <w:pPr>
        <w:pStyle w:val="145"/>
        <w:numPr>
          <w:ilvl w:val="0"/>
          <w:numId w:val="5"/>
        </w:numPr>
        <w:rPr>
          <w:lang w:eastAsia="zh-CN"/>
        </w:rPr>
      </w:pPr>
      <w:r>
        <w:rPr>
          <w:rFonts w:hint="eastAsia"/>
          <w:lang w:eastAsia="zh-CN"/>
        </w:rPr>
        <w:t>替代材料的竞争：砂石有替代材料，如回收材料和合成材料，可用于类似用途。这可能会限制某些市场对砂石摊铺机的需求。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行业发展机遇</w:t>
      </w:r>
      <w:r>
        <w:rPr>
          <w:lang w:eastAsia="zh-CN"/>
        </w:rPr>
        <w:t>:</w:t>
      </w:r>
    </w:p>
    <w:p>
      <w:pPr>
        <w:pStyle w:val="145"/>
        <w:numPr>
          <w:ilvl w:val="0"/>
          <w:numId w:val="6"/>
        </w:numPr>
        <w:rPr>
          <w:lang w:eastAsia="zh-CN"/>
        </w:rPr>
      </w:pPr>
      <w:r>
        <w:rPr>
          <w:rFonts w:hint="eastAsia"/>
          <w:lang w:eastAsia="zh-CN"/>
        </w:rPr>
        <w:t>基础设施建设的增加：建筑业的增长，尤其是新兴经济体的增长，预计将推动道路建设、停车场建设和景观美化项目对砂石料撒布机的需求。</w:t>
      </w:r>
    </w:p>
    <w:p>
      <w:pPr>
        <w:pStyle w:val="145"/>
        <w:numPr>
          <w:ilvl w:val="0"/>
          <w:numId w:val="6"/>
        </w:numPr>
        <w:rPr>
          <w:lang w:eastAsia="zh-CN"/>
        </w:rPr>
      </w:pPr>
      <w:r>
        <w:rPr>
          <w:rFonts w:hint="eastAsia"/>
          <w:lang w:eastAsia="zh-CN"/>
        </w:rPr>
        <w:t>运输业的增长：预计未来几年运输业将出现大幅增长，从而对用于道路、高速公路和停车场的砂石料撒布机产生更高的需求。</w:t>
      </w:r>
    </w:p>
    <w:p>
      <w:pPr>
        <w:pStyle w:val="145"/>
        <w:numPr>
          <w:ilvl w:val="0"/>
          <w:numId w:val="6"/>
        </w:numPr>
        <w:rPr>
          <w:lang w:eastAsia="zh-CN"/>
        </w:rPr>
      </w:pPr>
      <w:r>
        <w:rPr>
          <w:rFonts w:hint="eastAsia"/>
          <w:lang w:eastAsia="zh-CN"/>
        </w:rPr>
        <w:t>对工作场所安全的需求不断增加： 工作场所对安全的要求越来越高，这促使在工业环境中使用砂石摊铺机来提高牵引力和降低事故风险。</w:t>
      </w:r>
    </w:p>
    <w:p>
      <w:pPr>
        <w:pStyle w:val="145"/>
        <w:numPr>
          <w:ilvl w:val="0"/>
          <w:numId w:val="6"/>
        </w:numPr>
        <w:rPr>
          <w:lang w:eastAsia="zh-CN"/>
        </w:rPr>
      </w:pPr>
      <w:r>
        <w:rPr>
          <w:rFonts w:hint="eastAsia"/>
          <w:lang w:eastAsia="zh-CN"/>
        </w:rPr>
        <w:t>技术进步：自走式砂石撒布机的开发以及可调式撒布刀片、变速输送机和抑尘系统等功能的融入，预计将促进各行业对这些机器的需求。</w:t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碎石撒布机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16</w:t>
      </w:r>
      <w:r>
        <w:rPr>
          <w:rFonts w:hint="eastAsia"/>
          <w:lang w:eastAsia="zh-CN"/>
        </w:rPr>
        <w:t>强生产商排名及市场占有率（持续更新）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碎石撒布机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全球范围内碎石撒布机生产商主要包括Etnyre、KUXMANN、Schafer Technic、Salford、Zwack、Rolland、Dagang Holding、XCMG、Guangxi Yuchai Special Purpose Automobile、Shaanxi Wanli Road Maintenance Equipment等。2022年，全球前五大厂商占有大约66.0%的市场份额。</w:t>
      </w:r>
    </w:p>
    <w:p>
      <w:pPr>
        <w:pStyle w:val="145"/>
      </w:pPr>
      <w:r>
        <w:br w:type="page"/>
      </w:r>
    </w:p>
    <w:p>
      <w:pPr>
        <w:pStyle w:val="148"/>
        <w:rPr>
          <w:lang w:eastAsia="zh-CN"/>
        </w:rPr>
      </w:pPr>
      <w:r>
        <w:rPr>
          <w:lang w:eastAsia="zh-CN"/>
        </w:rPr>
        <w:t>碎石撒布机</w:t>
      </w:r>
      <w:r>
        <w:rPr>
          <w:rFonts w:hint="eastAsia"/>
          <w:lang w:eastAsia="zh-CN"/>
        </w:rPr>
        <w:t>，全球市场规模，按产品类型细分，悬挂式处于主导地位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6188710" cy="3140075"/>
            <wp:effectExtent l="0" t="0" r="254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14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rPr>
          <w:rFonts w:hint="eastAsia"/>
          <w:lang w:eastAsia="zh-CN"/>
        </w:rPr>
      </w:pPr>
      <w:r>
        <w:drawing>
          <wp:inline distT="0" distB="0" distL="0" distR="0">
            <wp:extent cx="6188710" cy="276796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767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碎石撒布机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  <w:r>
        <w:rPr>
          <w:rFonts w:hint="eastAsia"/>
          <w:lang w:eastAsia="zh-CN"/>
        </w:rPr>
        <w:t xml:space="preserve"> （百万美元）</w:t>
      </w:r>
    </w:p>
    <w:p>
      <w:pPr>
        <w:pStyle w:val="145"/>
      </w:pPr>
      <w:r>
        <w:rPr>
          <w:rFonts w:hint="eastAsia"/>
          <w:lang w:eastAsia="zh-CN"/>
        </w:rPr>
        <w:t>就产品类型而言，目前悬挂式是最主要的细分产品，占据大约51.1%的份额。</w:t>
      </w:r>
      <w:bookmarkStart w:id="14" w:name="_GoBack"/>
      <w:bookmarkEnd w:id="14"/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就产品应用而言，目前马路是最主要的需求来源，占据大约73.4%的份额。</w:t>
      </w: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碎石撒布机</w:t>
      </w:r>
      <w:r>
        <w:rPr>
          <w:rFonts w:hint="eastAsia"/>
          <w:lang w:eastAsia="zh-CN"/>
        </w:rPr>
        <w:t>规模，主要生产地区份额（按产值）（百万美元）</w:t>
      </w:r>
    </w:p>
    <w:p>
      <w:pPr>
        <w:pStyle w:val="145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6188710" cy="2922270"/>
            <wp:effectExtent l="0" t="0" r="2540" b="0"/>
            <wp:docPr id="7" name="图表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>
      <w:pPr>
        <w:pStyle w:val="145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6188710" cy="2922270"/>
            <wp:effectExtent l="0" t="0" r="2540" b="0"/>
            <wp:docPr id="8" name="图表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碎石撒布机</w:t>
      </w:r>
      <w:r>
        <w:rPr>
          <w:rFonts w:hint="eastAsia"/>
        </w:rPr>
        <w:t>市场研究报告2023-2029</w:t>
      </w:r>
      <w:r>
        <w:t>.</w:t>
      </w:r>
      <w:r>
        <w:rPr>
          <w:rFonts w:hint="eastAsia"/>
          <w:lang w:eastAsia="zh-CN"/>
        </w:rPr>
        <w:t>（百万美元）</w:t>
      </w:r>
    </w:p>
    <w:p>
      <w:pPr>
        <w:pStyle w:val="145"/>
      </w:pP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209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3120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30024FD"/>
    <w:multiLevelType w:val="multilevel"/>
    <w:tmpl w:val="130024FD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>
    <w:nsid w:val="1BE2615D"/>
    <w:multiLevelType w:val="multilevel"/>
    <w:tmpl w:val="1BE2615D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abstractNum w:abstractNumId="5">
    <w:nsid w:val="67FB5930"/>
    <w:multiLevelType w:val="multilevel"/>
    <w:tmpl w:val="67FB5930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MDYzNTE3ZmJhYmZjY2ZiNzUxNTI1ZTRkNzNkYTA1OT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186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B50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5AFD"/>
    <w:rsid w:val="0014641A"/>
    <w:rsid w:val="0014663F"/>
    <w:rsid w:val="0014677A"/>
    <w:rsid w:val="00146B8F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5E9F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91A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1D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4C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71E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1D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2F35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2E0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D12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3B7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1B3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44C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05F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C73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041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0A5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BB7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450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9C6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A66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1C3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6D4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3E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291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1B9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576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7CD86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unhideWhenUsed/>
    <w:qFormat/>
    <w:uiPriority w:val="1"/>
  </w:style>
  <w:style w:type="table" w:default="1" w:styleId="34">
    <w:name w:val="Normal Table"/>
    <w:autoRedefine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uiPriority w:val="0"/>
    <w:pPr>
      <w:jc w:val="left"/>
    </w:pPr>
    <w:rPr>
      <w:b/>
      <w:bCs/>
    </w:rPr>
  </w:style>
  <w:style w:type="table" w:styleId="35">
    <w:name w:val="Table Grid"/>
    <w:basedOn w:val="34"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2.xml"/><Relationship Id="rId8" Type="http://schemas.openxmlformats.org/officeDocument/2006/relationships/chart" Target="charts/chart1.xml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chart" Target="charts/chart4.xml"/><Relationship Id="rId12" Type="http://schemas.openxmlformats.org/officeDocument/2006/relationships/chart" Target="charts/chart3.xml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hengzhoubz\Desktop\&#20219;&#21153;&#19977;&#25490;&#21517;&#25991;&#20214;\Sand%20%26%20Gravel%20Spreader\&#35266;&#28857;&#25968;&#25454;&#22270;&#34920;&#27169;&#26495;-&#21407;&#27169;&#26495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file:///C:\Users\hengzhoubz\Desktop\&#20219;&#21153;&#19977;&#25490;&#21517;&#25991;&#20214;\Sand%20%26%20Gravel%20Spreader\&#35266;&#28857;&#25968;&#25454;&#22270;&#34920;&#27169;&#26495;-&#21407;&#27169;&#26495;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hengzhoubz\Desktop\&#20219;&#21153;&#19977;&#25490;&#21517;&#25991;&#20214;\Sand%20%26%20Gravel%20Spreader\&#35266;&#28857;&#25968;&#25454;&#22270;&#34920;&#27169;&#26495;-&#21407;&#27169;&#26495;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oleObject" Target="file:///C:\Users\hengzhoubz\Desktop\&#20219;&#21153;&#19977;&#25490;&#21517;&#25991;&#20214;\Sand%20%26%20Gravel%20Spreader\&#35266;&#28857;&#25968;&#25454;&#22270;&#34920;&#27169;&#26495;-&#21407;&#27169;&#26495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 altLang="en-US" sz="1100">
                <a:latin typeface="Book Antiqua" panose="02040602050305030304" pitchFamily="1" charset="0"/>
              </a:rPr>
              <a:t>全球市场规模（百万美元），</a:t>
            </a:r>
            <a:r>
              <a:rPr lang="en-US" altLang="zh-CN" sz="1100">
                <a:latin typeface="Book Antiqua" panose="02040602050305030304" pitchFamily="1" charset="0"/>
              </a:rPr>
              <a:t>2022 VS 2029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全球总体!$C$21:$D$21</c:f>
              <c:numCache>
                <c:formatCode>General</c:formatCode>
                <c:ptCount val="2"/>
                <c:pt idx="0">
                  <c:v>2022</c:v>
                </c:pt>
                <c:pt idx="1">
                  <c:v>2029</c:v>
                </c:pt>
              </c:numCache>
            </c:numRef>
          </c:cat>
          <c:val>
            <c:numRef>
              <c:f>全球总体!$C$22:$D$22</c:f>
              <c:numCache>
                <c:formatCode>#,##0_ </c:formatCode>
                <c:ptCount val="2"/>
                <c:pt idx="0">
                  <c:v>194.3</c:v>
                </c:pt>
                <c:pt idx="1">
                  <c:v>265.99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企业排序!$F$2:$F$17</c:f>
              <c:strCache>
                <c:ptCount val="16"/>
                <c:pt idx="0">
                  <c:v>Etnyre</c:v>
                </c:pt>
                <c:pt idx="1">
                  <c:v>KUXMANN</c:v>
                </c:pt>
                <c:pt idx="2">
                  <c:v>Schafer Technic</c:v>
                </c:pt>
                <c:pt idx="3">
                  <c:v>Salford</c:v>
                </c:pt>
                <c:pt idx="4">
                  <c:v>Zwack</c:v>
                </c:pt>
                <c:pt idx="5">
                  <c:v>达刚控股</c:v>
                </c:pt>
                <c:pt idx="6">
                  <c:v>Rolland</c:v>
                </c:pt>
                <c:pt idx="7">
                  <c:v>徐工机械</c:v>
                </c:pt>
                <c:pt idx="8">
                  <c:v>广西玉柴</c:v>
                </c:pt>
                <c:pt idx="9">
                  <c:v>陕西万里路面养护设备</c:v>
                </c:pt>
                <c:pt idx="10">
                  <c:v>北京欧亚机械设备</c:v>
                </c:pt>
                <c:pt idx="11">
                  <c:v>浙江美通筑路机械</c:v>
                </c:pt>
                <c:pt idx="12">
                  <c:v>山东嘉成路面机械</c:v>
                </c:pt>
                <c:pt idx="13">
                  <c:v>河南亿龙机械设备</c:v>
                </c:pt>
                <c:pt idx="14">
                  <c:v>河南高远公路养护设备</c:v>
                </c:pt>
                <c:pt idx="15">
                  <c:v>德州路远机械</c:v>
                </c:pt>
              </c:strCache>
            </c:strRef>
          </c:cat>
          <c:val>
            <c:numRef>
              <c:f>企业排序!$K$2:$K$17</c:f>
              <c:numCache>
                <c:formatCode>0.0%</c:formatCode>
                <c:ptCount val="16"/>
                <c:pt idx="0">
                  <c:v>0.226453937210499</c:v>
                </c:pt>
                <c:pt idx="1">
                  <c:v>0.147812660833762</c:v>
                </c:pt>
                <c:pt idx="2">
                  <c:v>0.129233144621719</c:v>
                </c:pt>
                <c:pt idx="3">
                  <c:v>0.0994853319608852</c:v>
                </c:pt>
                <c:pt idx="4">
                  <c:v>0.0523417395779722</c:v>
                </c:pt>
                <c:pt idx="5">
                  <c:v>0.0371590324240865</c:v>
                </c:pt>
                <c:pt idx="6">
                  <c:v>0.0365414307771487</c:v>
                </c:pt>
                <c:pt idx="7">
                  <c:v>0.0271744724652599</c:v>
                </c:pt>
                <c:pt idx="8">
                  <c:v>0.0173957797220793</c:v>
                </c:pt>
                <c:pt idx="9">
                  <c:v>0.0139475038600103</c:v>
                </c:pt>
                <c:pt idx="10">
                  <c:v>0.0101904271744725</c:v>
                </c:pt>
                <c:pt idx="11">
                  <c:v>0.00993309315491508</c:v>
                </c:pt>
                <c:pt idx="12">
                  <c:v>0.00483787956767885</c:v>
                </c:pt>
                <c:pt idx="13">
                  <c:v>0.00452907874420998</c:v>
                </c:pt>
                <c:pt idx="14">
                  <c:v>0.00447761194029851</c:v>
                </c:pt>
                <c:pt idx="15">
                  <c:v>0.00200720535254761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.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'地区-生产'!$A$2</c:f>
              <c:strCache>
                <c:ptCount val="1"/>
                <c:pt idx="0">
                  <c:v>北美</c:v>
                </c:pt>
              </c:strCache>
            </c:strRef>
          </c:tx>
          <c:spPr>
            <a:solidFill>
              <a:schemeClr val="accent5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'地区-生产'!$B$1:$M$1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'地区-生产'!$B$2:$M$2</c:f>
              <c:numCache>
                <c:formatCode>#,##0_);[Red]\(#,##0\)</c:formatCode>
                <c:ptCount val="12"/>
                <c:pt idx="0">
                  <c:v>76.79</c:v>
                </c:pt>
                <c:pt idx="1">
                  <c:v>78.97</c:v>
                </c:pt>
                <c:pt idx="2">
                  <c:v>77.26</c:v>
                </c:pt>
                <c:pt idx="3">
                  <c:v>81.12</c:v>
                </c:pt>
                <c:pt idx="4">
                  <c:v>84.82</c:v>
                </c:pt>
                <c:pt idx="5">
                  <c:v>87.62</c:v>
                </c:pt>
                <c:pt idx="6">
                  <c:v>88.56</c:v>
                </c:pt>
                <c:pt idx="7">
                  <c:v>94.48</c:v>
                </c:pt>
                <c:pt idx="8">
                  <c:v>98.24</c:v>
                </c:pt>
                <c:pt idx="9">
                  <c:v>108.23</c:v>
                </c:pt>
                <c:pt idx="10">
                  <c:v>109.54</c:v>
                </c:pt>
                <c:pt idx="11">
                  <c:v>115.14</c:v>
                </c:pt>
              </c:numCache>
            </c:numRef>
          </c:val>
        </c:ser>
        <c:ser>
          <c:idx val="1"/>
          <c:order val="1"/>
          <c:tx>
            <c:strRef>
              <c:f>'地区-生产'!$A$3</c:f>
              <c:strCache>
                <c:ptCount val="1"/>
                <c:pt idx="0">
                  <c:v>欧洲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'地区-生产'!$B$1:$M$1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'地区-生产'!$B$3:$M$3</c:f>
              <c:numCache>
                <c:formatCode>#,##0_);[Red]\(#,##0\)</c:formatCode>
                <c:ptCount val="12"/>
                <c:pt idx="0">
                  <c:v>58.12</c:v>
                </c:pt>
                <c:pt idx="1">
                  <c:v>61.02</c:v>
                </c:pt>
                <c:pt idx="2">
                  <c:v>58.36</c:v>
                </c:pt>
                <c:pt idx="3">
                  <c:v>64.1</c:v>
                </c:pt>
                <c:pt idx="4">
                  <c:v>69.86</c:v>
                </c:pt>
                <c:pt idx="5">
                  <c:v>73.87</c:v>
                </c:pt>
                <c:pt idx="6">
                  <c:v>76.35</c:v>
                </c:pt>
                <c:pt idx="7">
                  <c:v>79.23</c:v>
                </c:pt>
                <c:pt idx="8">
                  <c:v>84.06</c:v>
                </c:pt>
                <c:pt idx="9">
                  <c:v>87.55</c:v>
                </c:pt>
                <c:pt idx="10">
                  <c:v>89.33</c:v>
                </c:pt>
                <c:pt idx="11">
                  <c:v>94.01</c:v>
                </c:pt>
              </c:numCache>
            </c:numRef>
          </c:val>
        </c:ser>
        <c:ser>
          <c:idx val="2"/>
          <c:order val="2"/>
          <c:tx>
            <c:strRef>
              <c:f>'地区-生产'!$A$4</c:f>
              <c:strCache>
                <c:ptCount val="1"/>
                <c:pt idx="0">
                  <c:v>中国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'地区-生产'!$B$1:$M$1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'地区-生产'!$B$4:$M$4</c:f>
              <c:numCache>
                <c:formatCode>#,##0_);[Red]\(#,##0\)</c:formatCode>
                <c:ptCount val="12"/>
                <c:pt idx="0">
                  <c:v>29.89</c:v>
                </c:pt>
                <c:pt idx="1">
                  <c:v>31.13</c:v>
                </c:pt>
                <c:pt idx="2">
                  <c:v>30.51</c:v>
                </c:pt>
                <c:pt idx="3">
                  <c:v>32.21</c:v>
                </c:pt>
                <c:pt idx="4">
                  <c:v>33.17</c:v>
                </c:pt>
                <c:pt idx="5">
                  <c:v>34.26</c:v>
                </c:pt>
                <c:pt idx="6">
                  <c:v>36.39</c:v>
                </c:pt>
                <c:pt idx="7">
                  <c:v>37.88</c:v>
                </c:pt>
                <c:pt idx="8">
                  <c:v>39.14</c:v>
                </c:pt>
                <c:pt idx="9">
                  <c:v>43.17</c:v>
                </c:pt>
                <c:pt idx="10">
                  <c:v>45.44</c:v>
                </c:pt>
                <c:pt idx="11">
                  <c:v>47.25</c:v>
                </c:pt>
              </c:numCache>
            </c:numRef>
          </c:val>
        </c:ser>
        <c:ser>
          <c:idx val="3"/>
          <c:order val="3"/>
          <c:tx>
            <c:strRef>
              <c:f>'地区-生产'!$A$5</c:f>
              <c:strCache>
                <c:ptCount val="1"/>
                <c:pt idx="0">
                  <c:v>其他地区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'地区-生产'!$B$1:$M$1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'地区-生产'!$B$5:$M$5</c:f>
              <c:numCache>
                <c:formatCode>#,##0_);[Red]\(#,##0\)</c:formatCode>
                <c:ptCount val="12"/>
                <c:pt idx="0">
                  <c:v>5.87</c:v>
                </c:pt>
                <c:pt idx="1">
                  <c:v>5.73</c:v>
                </c:pt>
                <c:pt idx="2">
                  <c:v>5.56</c:v>
                </c:pt>
                <c:pt idx="3">
                  <c:v>6.63</c:v>
                </c:pt>
                <c:pt idx="4">
                  <c:v>6.45</c:v>
                </c:pt>
                <c:pt idx="5">
                  <c:v>7.24</c:v>
                </c:pt>
                <c:pt idx="6">
                  <c:v>7.4</c:v>
                </c:pt>
                <c:pt idx="7">
                  <c:v>7.91</c:v>
                </c:pt>
                <c:pt idx="8">
                  <c:v>7.95</c:v>
                </c:pt>
                <c:pt idx="9">
                  <c:v>8.71</c:v>
                </c:pt>
                <c:pt idx="10">
                  <c:v>9.17</c:v>
                </c:pt>
                <c:pt idx="11">
                  <c:v>9.59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897692240"/>
        <c:axId val="1897707216"/>
        <c:extLst>
          <c:ext xmlns:c15="http://schemas.microsoft.com/office/drawing/2012/chart" uri="{02D57815-91ED-43cb-92C2-25804820EDAC}">
            <c15:filteredBarSeries>
              <c15:ser>
                <c:idx val="4"/>
                <c:order val="4"/>
                <c:tx>
                  <c:strRef>
                    <c:extLst>
                      <c:ext uri="{02D57815-91ED-43cb-92C2-25804820EDAC}">
                        <c15:formulaRef>
                          <c15:sqref>'地区-生产'!$A$6</c15:sqref>
                        </c15:formulaRef>
                      </c:ext>
                    </c:extLst>
                    <c:strCache>
                      <c:ptCount val="1"/>
                      <c:pt idx="0">
                        <c:v/>
                      </c:pt>
                    </c:strCache>
                  </c:strRef>
                </c:tx>
                <c:spPr>
                  <a:solidFill>
                    <a:schemeClr val="tx1">
                      <a:lumMod val="65000"/>
                      <a:lumOff val="35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delete val="1"/>
                </c:dLbls>
                <c:cat>
                  <c:numRef>
                    <c:extLst>
                      <c:ext uri="{02D57815-91ED-43cb-92C2-25804820EDAC}">
                        <c15:fullRef>
                          <c15:sqref/>
                        </c15:fullRef>
                        <c15:formulaRef>
                          <c15:sqref>'地区-生产'!$B$1:$M$1</c15:sqref>
                        </c15:formulaRef>
                      </c:ext>
                    </c:extLst>
                    <c:numCache>
                      <c:formatCode>General</c:formatCode>
                      <c:ptCount val="12"/>
                      <c:pt idx="0">
                        <c:v>2018</c:v>
                      </c:pt>
                      <c:pt idx="1">
                        <c:v>2019</c:v>
                      </c:pt>
                      <c:pt idx="2">
                        <c:v>2020</c:v>
                      </c:pt>
                      <c:pt idx="3">
                        <c:v>2021</c:v>
                      </c:pt>
                      <c:pt idx="4">
                        <c:v>2022</c:v>
                      </c:pt>
                      <c:pt idx="5">
                        <c:v>2023</c:v>
                      </c:pt>
                      <c:pt idx="6">
                        <c:v>2024</c:v>
                      </c:pt>
                      <c:pt idx="7">
                        <c:v>2025</c:v>
                      </c:pt>
                      <c:pt idx="8">
                        <c:v>2026</c:v>
                      </c:pt>
                      <c:pt idx="9">
                        <c:v>2027</c:v>
                      </c:pt>
                      <c:pt idx="10">
                        <c:v>2028</c:v>
                      </c:pt>
                      <c:pt idx="11">
                        <c:v>2029</c:v>
                      </c:pt>
                    </c:numCache>
                  </c:numRef>
                </c:cat>
                <c:val>
                  <c:numRef>
                    <c:extLst>
                      <c:ext uri="{02D57815-91ED-43cb-92C2-25804820EDAC}">
                        <c15:formulaRef>
                          <c15:sqref>'地区-生产'!$B$6:$M$6</c15:sqref>
                        </c15:formulaRef>
                      </c:ext>
                    </c:extLst>
                    <c:numCache>
                      <c:formatCode>General</c:formatCode>
                      <c:ptCount val="12"/>
                    </c:numCache>
                  </c:numRef>
                </c:val>
              </c15:ser>
            </c15:filteredBarSeries>
            <c15:filteredBarSeries>
              <c15:ser>
                <c:idx val="5"/>
                <c:order val="5"/>
                <c:tx>
                  <c:strRef>
                    <c:extLst>
                      <c:ext uri="{02D57815-91ED-43cb-92C2-25804820EDAC}">
                        <c15:formulaRef>
                          <c15:sqref>'地区-生产'!$A$7</c15:sqref>
                        </c15:formulaRef>
                      </c:ext>
                    </c:extLst>
                    <c:strCache>
                      <c:ptCount val="1"/>
                      <c:pt idx="0">
                        <c:v/>
                      </c:pt>
                    </c:strCache>
                  </c:strRef>
                </c:tx>
                <c:spPr>
                  <a:solidFill>
                    <a:srgbClr val="C00000"/>
                  </a:solidFill>
                  <a:ln>
                    <a:noFill/>
                  </a:ln>
                  <a:effectLst/>
                </c:spPr>
                <c:invertIfNegative val="0"/>
                <c:dLbls>
                  <c:delete val="1"/>
                </c:dLbls>
                <c:cat>
                  <c:numRef>
                    <c:extLst>
                      <c:ext uri="{02D57815-91ED-43cb-92C2-25804820EDAC}">
                        <c15:fullRef>
                          <c15:sqref/>
                        </c15:fullRef>
                        <c15:formulaRef>
                          <c15:sqref>'地区-生产'!$B$1:$M$1</c15:sqref>
                        </c15:formulaRef>
                      </c:ext>
                    </c:extLst>
                    <c:numCache>
                      <c:formatCode>General</c:formatCode>
                      <c:ptCount val="12"/>
                      <c:pt idx="0">
                        <c:v>2018</c:v>
                      </c:pt>
                      <c:pt idx="1">
                        <c:v>2019</c:v>
                      </c:pt>
                      <c:pt idx="2">
                        <c:v>2020</c:v>
                      </c:pt>
                      <c:pt idx="3">
                        <c:v>2021</c:v>
                      </c:pt>
                      <c:pt idx="4">
                        <c:v>2022</c:v>
                      </c:pt>
                      <c:pt idx="5">
                        <c:v>2023</c:v>
                      </c:pt>
                      <c:pt idx="6">
                        <c:v>2024</c:v>
                      </c:pt>
                      <c:pt idx="7">
                        <c:v>2025</c:v>
                      </c:pt>
                      <c:pt idx="8">
                        <c:v>2026</c:v>
                      </c:pt>
                      <c:pt idx="9">
                        <c:v>2027</c:v>
                      </c:pt>
                      <c:pt idx="10">
                        <c:v>2028</c:v>
                      </c:pt>
                      <c:pt idx="11">
                        <c:v>2029</c:v>
                      </c:pt>
                    </c:numCache>
                  </c:numRef>
                </c:cat>
                <c:val>
                  <c:numRef>
                    <c:extLst>
                      <c:ext uri="{02D57815-91ED-43cb-92C2-25804820EDAC}">
                        <c15:formulaRef>
                          <c15:sqref>'地区-生产'!$B$7:$M$7</c15:sqref>
                        </c15:formulaRef>
                      </c:ext>
                    </c:extLst>
                    <c:numCache>
                      <c:formatCode>General</c:formatCode>
                      <c:ptCount val="12"/>
                    </c:numCache>
                  </c:numRef>
                </c:val>
              </c15:ser>
            </c15:filteredBarSeries>
            <c15:filteredBarSeries>
              <c15:ser>
                <c:idx val="6"/>
                <c:order val="6"/>
                <c:tx>
                  <c:strRef>
                    <c:extLst>
                      <c:ext uri="{02D57815-91ED-43cb-92C2-25804820EDAC}">
                        <c15:formulaRef>
                          <c15:sqref>'地区-生产'!$A$8</c15:sqref>
                        </c15:formulaRef>
                      </c:ext>
                    </c:extLst>
                    <c:strCache>
                      <c:ptCount val="1"/>
                      <c:pt idx="0">
                        <c:v/>
                      </c:pt>
                    </c:strCache>
                  </c:strRef>
                </c:tx>
                <c:spPr>
                  <a:solidFill>
                    <a:srgbClr val="7030A0"/>
                  </a:solidFill>
                  <a:ln>
                    <a:noFill/>
                  </a:ln>
                  <a:effectLst/>
                </c:spPr>
                <c:invertIfNegative val="0"/>
                <c:dLbls>
                  <c:delete val="1"/>
                </c:dLbls>
                <c:cat>
                  <c:numRef>
                    <c:extLst>
                      <c:ext uri="{02D57815-91ED-43cb-92C2-25804820EDAC}">
                        <c15:fullRef>
                          <c15:sqref/>
                        </c15:fullRef>
                        <c15:formulaRef>
                          <c15:sqref>'地区-生产'!$B$1:$M$1</c15:sqref>
                        </c15:formulaRef>
                      </c:ext>
                    </c:extLst>
                    <c:numCache>
                      <c:formatCode>General</c:formatCode>
                      <c:ptCount val="12"/>
                      <c:pt idx="0">
                        <c:v>2018</c:v>
                      </c:pt>
                      <c:pt idx="1">
                        <c:v>2019</c:v>
                      </c:pt>
                      <c:pt idx="2">
                        <c:v>2020</c:v>
                      </c:pt>
                      <c:pt idx="3">
                        <c:v>2021</c:v>
                      </c:pt>
                      <c:pt idx="4">
                        <c:v>2022</c:v>
                      </c:pt>
                      <c:pt idx="5">
                        <c:v>2023</c:v>
                      </c:pt>
                      <c:pt idx="6">
                        <c:v>2024</c:v>
                      </c:pt>
                      <c:pt idx="7">
                        <c:v>2025</c:v>
                      </c:pt>
                      <c:pt idx="8">
                        <c:v>2026</c:v>
                      </c:pt>
                      <c:pt idx="9">
                        <c:v>2027</c:v>
                      </c:pt>
                      <c:pt idx="10">
                        <c:v>2028</c:v>
                      </c:pt>
                      <c:pt idx="11">
                        <c:v>2029</c:v>
                      </c:pt>
                    </c:numCache>
                  </c:numRef>
                </c:cat>
                <c:val>
                  <c:numRef>
                    <c:extLst>
                      <c:ext uri="{02D57815-91ED-43cb-92C2-25804820EDAC}">
                        <c15:formulaRef>
                          <c15:sqref>'地区-生产'!$B$8:$M$8</c15:sqref>
                        </c15:formulaRef>
                      </c:ext>
                    </c:extLst>
                    <c:numCache>
                      <c:formatCode>General</c:formatCode>
                      <c:ptCount val="12"/>
                    </c:numCache>
                  </c:numRef>
                </c:val>
              </c15:ser>
            </c15:filteredBarSeries>
            <c15:filteredBarSeries>
              <c15:ser>
                <c:idx val="7"/>
                <c:order val="7"/>
                <c:tx>
                  <c:strRef>
                    <c:extLst>
                      <c:ext uri="{02D57815-91ED-43cb-92C2-25804820EDAC}">
                        <c15:formulaRef>
                          <c15:sqref>'地区-生产'!$A$9</c15:sqref>
                        </c15:formulaRef>
                      </c:ext>
                    </c:extLst>
                    <c:strCache>
                      <c:ptCount val="1"/>
                      <c:pt idx="0">
                        <c:v/>
                      </c:pt>
                    </c:strCache>
                  </c:strRef>
                </c:tx>
                <c:spPr>
                  <a:solidFill>
                    <a:schemeClr val="tx2">
                      <a:lumMod val="60000"/>
                      <a:lumOff val="40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delete val="1"/>
                </c:dLbls>
                <c:cat>
                  <c:numRef>
                    <c:extLst>
                      <c:ext uri="{02D57815-91ED-43cb-92C2-25804820EDAC}">
                        <c15:fullRef>
                          <c15:sqref/>
                        </c15:fullRef>
                        <c15:formulaRef>
                          <c15:sqref>'地区-生产'!$B$1:$M$1</c15:sqref>
                        </c15:formulaRef>
                      </c:ext>
                    </c:extLst>
                    <c:numCache>
                      <c:formatCode>General</c:formatCode>
                      <c:ptCount val="12"/>
                      <c:pt idx="0">
                        <c:v>2018</c:v>
                      </c:pt>
                      <c:pt idx="1">
                        <c:v>2019</c:v>
                      </c:pt>
                      <c:pt idx="2">
                        <c:v>2020</c:v>
                      </c:pt>
                      <c:pt idx="3">
                        <c:v>2021</c:v>
                      </c:pt>
                      <c:pt idx="4">
                        <c:v>2022</c:v>
                      </c:pt>
                      <c:pt idx="5">
                        <c:v>2023</c:v>
                      </c:pt>
                      <c:pt idx="6">
                        <c:v>2024</c:v>
                      </c:pt>
                      <c:pt idx="7">
                        <c:v>2025</c:v>
                      </c:pt>
                      <c:pt idx="8">
                        <c:v>2026</c:v>
                      </c:pt>
                      <c:pt idx="9">
                        <c:v>2027</c:v>
                      </c:pt>
                      <c:pt idx="10">
                        <c:v>2028</c:v>
                      </c:pt>
                      <c:pt idx="11">
                        <c:v>2029</c:v>
                      </c:pt>
                    </c:numCache>
                  </c:numRef>
                </c:cat>
                <c:val>
                  <c:numRef>
                    <c:extLst>
                      <c:ext uri="{02D57815-91ED-43cb-92C2-25804820EDAC}">
                        <c15:formulaRef>
                          <c15:sqref>'地区-生产'!$B$9:$M$9</c15:sqref>
                        </c15:formulaRef>
                      </c:ext>
                    </c:extLst>
                    <c:numCache>
                      <c:formatCode>General</c:formatCode>
                      <c:ptCount val="12"/>
                    </c:numCache>
                  </c:numRef>
                </c:val>
              </c15:ser>
            </c15:filteredBarSeries>
            <c15:filteredBarSeries>
              <c15:ser>
                <c:idx val="8"/>
                <c:order val="8"/>
                <c:tx>
                  <c:strRef>
                    <c:extLst>
                      <c:ext uri="{02D57815-91ED-43cb-92C2-25804820EDAC}">
                        <c15:formulaRef>
                          <c15:sqref>'地区-生产'!#REF!</c15:sqref>
                        </c15:formulaRef>
                      </c:ext>
                    </c:extLst>
                    <c:strCache>
                      <c:ptCount val="1"/>
                      <c:pt idx="0">
                        <c:v>#REF!</c:v>
                      </c:pt>
                    </c:strCache>
                  </c:strRef>
                </c:tx>
                <c:spPr>
                  <a:solidFill>
                    <a:schemeClr val="accent6">
                      <a:lumMod val="75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delete val="1"/>
                </c:dLbls>
                <c:cat>
                  <c:numRef>
                    <c:extLst>
                      <c:ext uri="{02D57815-91ED-43cb-92C2-25804820EDAC}">
                        <c15:fullRef>
                          <c15:sqref/>
                        </c15:fullRef>
                        <c15:formulaRef>
                          <c15:sqref>'地区-生产'!$B$1:$M$1</c15:sqref>
                        </c15:formulaRef>
                      </c:ext>
                    </c:extLst>
                    <c:numCache>
                      <c:formatCode>General</c:formatCode>
                      <c:ptCount val="12"/>
                      <c:pt idx="0">
                        <c:v>2018</c:v>
                      </c:pt>
                      <c:pt idx="1">
                        <c:v>2019</c:v>
                      </c:pt>
                      <c:pt idx="2">
                        <c:v>2020</c:v>
                      </c:pt>
                      <c:pt idx="3">
                        <c:v>2021</c:v>
                      </c:pt>
                      <c:pt idx="4">
                        <c:v>2022</c:v>
                      </c:pt>
                      <c:pt idx="5">
                        <c:v>2023</c:v>
                      </c:pt>
                      <c:pt idx="6">
                        <c:v>2024</c:v>
                      </c:pt>
                      <c:pt idx="7">
                        <c:v>2025</c:v>
                      </c:pt>
                      <c:pt idx="8">
                        <c:v>2026</c:v>
                      </c:pt>
                      <c:pt idx="9">
                        <c:v>2027</c:v>
                      </c:pt>
                      <c:pt idx="10">
                        <c:v>2028</c:v>
                      </c:pt>
                      <c:pt idx="11">
                        <c:v>2029</c:v>
                      </c:pt>
                    </c:numCache>
                  </c:numRef>
                </c:cat>
                <c:val>
                  <c:numRef>
                    <c:extLst>
                      <c:ext uri="{02D57815-91ED-43cb-92C2-25804820EDAC}">
                        <c15:formulaRef>
                          <c15:sqref>'地区-生产'!#REF!</c15:sqref>
                        </c15:formulaRef>
                      </c:ext>
                    </c:extLst>
                    <c:numCache>
                      <c:formatCode>General</c:formatCode>
                      <c:ptCount val="1"/>
                      <c:pt idx="0">
                        <c:v>1</c:v>
                      </c:pt>
                    </c:numCache>
                  </c:numRef>
                </c:val>
              </c15:ser>
            </c15:filteredBarSeries>
          </c:ext>
        </c:extLst>
      </c:barChart>
      <c:catAx>
        <c:axId val="18976922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707216"/>
        <c:crosses val="autoZero"/>
        <c:auto val="1"/>
        <c:lblAlgn val="ctr"/>
        <c:lblOffset val="100"/>
        <c:noMultiLvlLbl val="0"/>
      </c:catAx>
      <c:valAx>
        <c:axId val="189770721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6922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en-US" altLang="zh-CN" sz="1200">
                <a:latin typeface="Book Antiqua" panose="02040602050305030304" pitchFamily="1" charset="0"/>
              </a:rPr>
              <a:t>Market Size By Region, 2018 Vs 2022 VS 2029</a:t>
            </a:r>
            <a:endParaRPr lang="zh-CN" altLang="en-US" sz="12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'地区-生产'!$AE$1</c:f>
              <c:strCache>
                <c:ptCount val="1"/>
                <c:pt idx="0">
                  <c:v>2018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extLst>
                <c:ext xmlns:c15="http://schemas.microsoft.com/office/drawing/2012/chart" uri="{02D57815-91ED-43cb-92C2-25804820EDAC}">
                  <c15:fullRef>
                    <c15:sqref>'地区-生产'!$AD$2:$AD$9</c15:sqref>
                  </c15:fullRef>
                </c:ext>
              </c:extLst>
              <c:f>'地区-生产'!$AD$2:$AD$5</c:f>
              <c:strCache>
                <c:ptCount val="4"/>
                <c:pt idx="0">
                  <c:v>北美</c:v>
                </c:pt>
                <c:pt idx="1">
                  <c:v>欧洲</c:v>
                </c:pt>
                <c:pt idx="2">
                  <c:v>中国</c:v>
                </c:pt>
                <c:pt idx="3">
                  <c:v>其他地区</c:v>
                </c:pt>
              </c:strCache>
            </c:strRef>
          </c:cat>
          <c:val>
            <c:numRef>
              <c:extLst>
                <c:ext xmlns:c15="http://schemas.microsoft.com/office/drawing/2012/chart" uri="{02D57815-91ED-43cb-92C2-25804820EDAC}">
                  <c15:fullRef>
                    <c15:sqref>'地区-生产'!$AE$2:$AE$9</c15:sqref>
                  </c15:fullRef>
                </c:ext>
              </c:extLst>
              <c:f>'地区-生产'!$AE$2:$AE$5</c:f>
              <c:numCache>
                <c:formatCode>#,##0_);[Red]\(#,##0\)</c:formatCode>
                <c:ptCount val="4"/>
                <c:pt idx="0">
                  <c:v>76.79</c:v>
                </c:pt>
                <c:pt idx="1">
                  <c:v>58.12</c:v>
                </c:pt>
                <c:pt idx="2">
                  <c:v>29.89</c:v>
                </c:pt>
                <c:pt idx="3">
                  <c:v>5.87</c:v>
                </c:pt>
              </c:numCache>
            </c:numRef>
          </c:val>
        </c:ser>
        <c:ser>
          <c:idx val="1"/>
          <c:order val="1"/>
          <c:tx>
            <c:strRef>
              <c:f>'地区-生产'!$AF$1</c:f>
              <c:strCache>
                <c:ptCount val="1"/>
                <c:pt idx="0">
                  <c:v>2022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extLst>
                <c:ext xmlns:c15="http://schemas.microsoft.com/office/drawing/2012/chart" uri="{02D57815-91ED-43cb-92C2-25804820EDAC}">
                  <c15:fullRef>
                    <c15:sqref>'地区-生产'!$AD$2:$AD$9</c15:sqref>
                  </c15:fullRef>
                </c:ext>
              </c:extLst>
              <c:f>'地区-生产'!$AD$2:$AD$5</c:f>
              <c:strCache>
                <c:ptCount val="4"/>
                <c:pt idx="0">
                  <c:v>北美</c:v>
                </c:pt>
                <c:pt idx="1">
                  <c:v>欧洲</c:v>
                </c:pt>
                <c:pt idx="2">
                  <c:v>中国</c:v>
                </c:pt>
                <c:pt idx="3">
                  <c:v>其他地区</c:v>
                </c:pt>
              </c:strCache>
            </c:strRef>
          </c:cat>
          <c:val>
            <c:numRef>
              <c:extLst>
                <c:ext xmlns:c15="http://schemas.microsoft.com/office/drawing/2012/chart" uri="{02D57815-91ED-43cb-92C2-25804820EDAC}">
                  <c15:fullRef>
                    <c15:sqref>'地区-生产'!$AF$2:$AF$9</c15:sqref>
                  </c15:fullRef>
                </c:ext>
              </c:extLst>
              <c:f>'地区-生产'!$AF$2:$AF$5</c:f>
              <c:numCache>
                <c:formatCode>#,##0_);[Red]\(#,##0\)</c:formatCode>
                <c:ptCount val="4"/>
                <c:pt idx="0">
                  <c:v>84.82</c:v>
                </c:pt>
                <c:pt idx="1">
                  <c:v>69.86</c:v>
                </c:pt>
                <c:pt idx="2">
                  <c:v>33.17</c:v>
                </c:pt>
                <c:pt idx="3">
                  <c:v>6.45</c:v>
                </c:pt>
              </c:numCache>
            </c:numRef>
          </c:val>
        </c:ser>
        <c:ser>
          <c:idx val="2"/>
          <c:order val="2"/>
          <c:tx>
            <c:strRef>
              <c:f>'地区-生产'!$AG$1</c:f>
              <c:strCache>
                <c:ptCount val="1"/>
                <c:pt idx="0">
                  <c:v>2029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extLst>
                <c:ext xmlns:c15="http://schemas.microsoft.com/office/drawing/2012/chart" uri="{02D57815-91ED-43cb-92C2-25804820EDAC}">
                  <c15:fullRef>
                    <c15:sqref>'地区-生产'!$AD$2:$AD$9</c15:sqref>
                  </c15:fullRef>
                </c:ext>
              </c:extLst>
              <c:f>'地区-生产'!$AD$2:$AD$5</c:f>
              <c:strCache>
                <c:ptCount val="4"/>
                <c:pt idx="0">
                  <c:v>北美</c:v>
                </c:pt>
                <c:pt idx="1">
                  <c:v>欧洲</c:v>
                </c:pt>
                <c:pt idx="2">
                  <c:v>中国</c:v>
                </c:pt>
                <c:pt idx="3">
                  <c:v>其他地区</c:v>
                </c:pt>
              </c:strCache>
            </c:strRef>
          </c:cat>
          <c:val>
            <c:numRef>
              <c:extLst>
                <c:ext xmlns:c15="http://schemas.microsoft.com/office/drawing/2012/chart" uri="{02D57815-91ED-43cb-92C2-25804820EDAC}">
                  <c15:fullRef>
                    <c15:sqref>'地区-生产'!$AG$2:$AG$9</c15:sqref>
                  </c15:fullRef>
                </c:ext>
              </c:extLst>
              <c:f>'地区-生产'!$AG$2:$AG$5</c:f>
              <c:numCache>
                <c:formatCode>#,##0_);[Red]\(#,##0\)</c:formatCode>
                <c:ptCount val="4"/>
                <c:pt idx="0">
                  <c:v>115.14</c:v>
                </c:pt>
                <c:pt idx="1">
                  <c:v>94.01</c:v>
                </c:pt>
                <c:pt idx="2">
                  <c:v>47.25</c:v>
                </c:pt>
                <c:pt idx="3">
                  <c:v>9.59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25844928"/>
        <c:axId val="1875643855"/>
      </c:barChart>
      <c:catAx>
        <c:axId val="258449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875643855"/>
        <c:crosses val="autoZero"/>
        <c:auto val="1"/>
        <c:lblAlgn val="ctr"/>
        <c:lblOffset val="100"/>
        <c:noMultiLvlLbl val="0"/>
      </c:catAx>
      <c:valAx>
        <c:axId val="1875643855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258449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" charset="0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0.3424</cdr:x>
      <cdr:y>0.19487</cdr:y>
    </cdr:from>
    <cdr:to>
      <cdr:x>0.64472</cdr:x>
      <cdr:y>0.49438</cdr:y>
    </cdr:to>
    <cdr:grpSp>
      <cdr:nvGrpSpPr>
        <cdr:cNvPr id="2" name="组合 1"/>
        <cdr:cNvGrpSpPr/>
      </cdr:nvGrpSpPr>
      <cdr:grpSpPr xmlns:a="http://schemas.openxmlformats.org/drawingml/2006/main">
        <a:xfrm rot="439955">
          <a:off x="2119014" y="573051"/>
          <a:ext cx="1870971" cy="880765"/>
          <a:chOff x="2472076" y="803781"/>
          <a:chExt cx="1347825" cy="936531"/>
        </a:xfrm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rot="21160045" flipV="1">
            <a:off x="2472076" y="803781"/>
            <a:ext cx="1347825" cy="936531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4" name="椭圆 3"/>
          <cdr:cNvSpPr/>
        </cdr:nvSpPr>
        <cdr:spPr xmlns:a="http://schemas.openxmlformats.org/drawingml/2006/main">
          <a:xfrm xmlns:a="http://schemas.openxmlformats.org/drawingml/2006/main" rot="20012677">
            <a:off x="2758732" y="1132418"/>
            <a:ext cx="491455" cy="376547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baseline="0">
                <a:latin typeface="Book Antiqua" panose="02040602050305030304" pitchFamily="1" charset="0"/>
                <a:ea typeface="宋体" panose="02010600030101010101" charset="-122"/>
              </a:rPr>
              <a:t>4.6%</a:t>
            </a:r>
            <a:endParaRPr lang="zh-CN" baseline="0">
              <a:latin typeface="Book Antiqua" panose="02040602050305030304" pitchFamily="1" charset="0"/>
              <a:ea typeface="宋体" panose="02010600030101010101" charset="-122"/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69FF7D3-4856-42FE-8CBE-97B3033C226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311</Words>
  <Characters>1778</Characters>
  <Lines>14</Lines>
  <Paragraphs>4</Paragraphs>
  <TotalTime>0</TotalTime>
  <ScaleCrop>false</ScaleCrop>
  <LinksUpToDate>false</LinksUpToDate>
  <CharactersWithSpaces>2085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*星*空夜@话</cp:lastModifiedBy>
  <dcterms:modified xsi:type="dcterms:W3CDTF">2024-01-12T03:59:56Z</dcterms:modified>
  <cp:revision>851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2992DDC17289445B84C3B75C08FAAD0A_12</vt:lpwstr>
  </property>
</Properties>
</file>