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Calibri"/>
        </w:rPr>
      </w:pPr>
      <w:bookmarkStart w:id="0" w:name="_Hlk23501351"/>
      <w:bookmarkStart w:id="1" w:name="_Toc438987549"/>
      <w:bookmarkStart w:id="2" w:name="_Toc517262917"/>
      <w:bookmarkStart w:id="3" w:name="_Toc481801204"/>
      <w:bookmarkStart w:id="4" w:name="_Toc453597319"/>
      <w:bookmarkStart w:id="5" w:name="_Toc418070112"/>
      <w:bookmarkStart w:id="6" w:name="_Toc415143481"/>
      <w:bookmarkStart w:id="7" w:name="OLE_LINK40"/>
      <w:bookmarkStart w:id="8" w:name="_Toc415818939"/>
      <w:bookmarkStart w:id="9" w:name="_Toc415142861"/>
      <w:bookmarkStart w:id="10" w:name="OLE_LINK13"/>
      <w:bookmarkStart w:id="11" w:name="OLE_LINK39"/>
      <w:bookmarkStart w:id="12" w:name="OLE_LINK15"/>
      <w:bookmarkStart w:id="13" w:name="OLE_LINK24"/>
      <w:r>
        <w:rPr>
          <w:rFonts w:cs="Calibri"/>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8863965</wp:posOffset>
                </wp:positionV>
                <wp:extent cx="5048250" cy="327660"/>
                <wp:effectExtent l="0" t="0" r="0" b="0"/>
                <wp:wrapNone/>
                <wp:docPr id="1438" name="Text Box 1438"/>
                <wp:cNvGraphicFramePr/>
                <a:graphic xmlns:a="http://schemas.openxmlformats.org/drawingml/2006/main">
                  <a:graphicData uri="http://schemas.microsoft.com/office/word/2010/wordprocessingShape">
                    <wps:wsp>
                      <wps:cNvSpPr txBox="1"/>
                      <wps:spPr>
                        <a:xfrm>
                          <a:off x="0" y="0"/>
                          <a:ext cx="5048250" cy="3278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b/>
                                <w:color w:val="FFFFFF" w:themeColor="background1"/>
                                <w:szCs w:val="22"/>
                                <w14:textFill>
                                  <w14:solidFill>
                                    <w14:schemeClr w14:val="bg1"/>
                                  </w14:solidFill>
                                </w14:textFill>
                              </w:rPr>
                            </w:pPr>
                            <w:r>
                              <w:rPr>
                                <w:b/>
                                <w:szCs w:val="22"/>
                              </w:rPr>
                              <w:t xml:space="preserve">Copyright © QYResearch | yangjunping@qyresearch.com | </w:t>
                            </w:r>
                            <w:r>
                              <w:rPr>
                                <w:b/>
                                <w:color w:val="FFFFFF" w:themeColor="background1"/>
                                <w:szCs w:val="22"/>
                                <w14:textFill>
                                  <w14:solidFill>
                                    <w14:schemeClr w14:val="bg1"/>
                                  </w14:solidFill>
                                </w14:textFill>
                              </w:rPr>
                              <w:t>www.qyresearch.com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438" o:spid="_x0000_s1026" o:spt="202" type="#_x0000_t202" style="position:absolute;left:0pt;margin-top:697.95pt;height:25.8pt;width:397.5pt;mso-position-horizontal:center;mso-position-horizontal-relative:margin;z-index:251659264;mso-width-relative:page;mso-height-relative:page;" filled="f" stroked="f" coordsize="21600,21600" o:gfxdata="UEsDBAoAAAAAAIdO4kAAAAAAAAAAAAAAAAAEAAAAZHJzL1BLAwQUAAAACACHTuJAeRDn/toAAAAK&#10;AQAADwAAAGRycy9kb3ducmV2LnhtbE2PzU7DMBCE70i8g7VI3KjT0tAmxKlQpAoJ0UNLL9w2sZtE&#10;2OsQuz/w9CwnOO43o9mZYnVxVpzMGHpPCqaTBIShxuueWgX7t/XdEkSISBqtJ6PgywRYlddXBeba&#10;n2lrTrvYCg6hkKOCLsYhlzI0nXEYJn4wxNrBjw4jn2Mr9YhnDndWzpLkQTrsiT90OJiqM83H7ugU&#10;vFTrDW7rmVt+2+r59fA0fO7fU6Vub6bJI4hoLvHPDL/1uTqU3Kn2R9JBWAU8JDK9z9IMBOuLLGVU&#10;M5rPFynIspD/J5Q/UEsDBBQAAAAIAIdO4kDB8CZdMgIAAHkEAAAOAAAAZHJzL2Uyb0RvYy54bWyt&#10;VE1v2zAMvQ/YfxB0X52kST+COEXWIsOAYi3QDjsrshwbkERNUmpnv35PctJ23Q497KLwK4/kI+nF&#10;VW80e1I+tGRLPj4ZcaaspKq125J/f1x/uuAsRGErocmqku9V4FfLjx8WnZurCTWkK+UZQGyYd67k&#10;TYxuXhRBNsqIcEJOWThr8kZEqH5bVF50QDe6mIxGZ0VHvnKepAoB1pvByQ+I/j2AVNetVDckd0bZ&#10;OKB6pUVES6FpXeDLXG1dKxnv6jqoyHTJ0WnML5JA3qS3WC7EfOuFa1p5KEG8p4Q3PRnRWiR9hroR&#10;UbCdb/+CMq30FKiOJ5JMMTSSGUEX49Ebbh4a4VTuBVQH90x6+H+w8tvTvWdthU2YnmLyVhjM/FH1&#10;kX2mnmUjOOpcmCP0wSE49vAgPnGX7AHG1Hpfe5N+0RSDHwzvnxlOeBLG2Wh6MZnBJeE7nZxfjKYJ&#10;pnj5t/MhflFkWBJK7jHBTKx4ug1xCD2GpGSW1q3WsIu5tqwr+dkp4P/wAFzbZFF5Hw4wL5UnKfab&#10;/tDOhqo9uvQ07Epwct2ilFsR4r3wWA5Uj/OJd3hqTUhJB4mzhvyvf9lTPGYGL2cdlq3k4edOeMWZ&#10;/moxzcvxdArYmJXp7HwCxb/2bF577M5cE/Z5jEN1MospPuqjWHsyP3Blq5QVLmElcpc8HsXrOJwA&#10;rlSq1SoHYR+diLf2wckEPVC42kWq28x7omngBvNKCjYyT+5wPWnlX+s56uWL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RDn/toAAAAKAQAADwAAAAAAAAABACAAAAAiAAAAZHJzL2Rvd25yZXYu&#10;eG1sUEsBAhQAFAAAAAgAh07iQMHwJl0yAgAAeQQAAA4AAAAAAAAAAQAgAAAAKQEAAGRycy9lMm9E&#10;b2MueG1sUEsFBgAAAAAGAAYAWQEAAM0FAAAAAA==&#10;">
                <v:fill on="f" focussize="0,0"/>
                <v:stroke on="f" weight="0.5pt"/>
                <v:imagedata o:title=""/>
                <o:lock v:ext="edit" aspectratio="f"/>
                <v:textbox>
                  <w:txbxContent>
                    <w:p>
                      <w:pPr>
                        <w:jc w:val="center"/>
                        <w:rPr>
                          <w:b/>
                          <w:color w:val="FFFFFF" w:themeColor="background1"/>
                          <w:szCs w:val="22"/>
                          <w14:textFill>
                            <w14:solidFill>
                              <w14:schemeClr w14:val="bg1"/>
                            </w14:solidFill>
                          </w14:textFill>
                        </w:rPr>
                      </w:pPr>
                      <w:r>
                        <w:rPr>
                          <w:b/>
                          <w:szCs w:val="22"/>
                        </w:rPr>
                        <w:t xml:space="preserve">Copyright © QYResearch | yangjunping@qyresearch.com | </w:t>
                      </w:r>
                      <w:r>
                        <w:rPr>
                          <w:b/>
                          <w:color w:val="FFFFFF" w:themeColor="background1"/>
                          <w:szCs w:val="22"/>
                          <w14:textFill>
                            <w14:solidFill>
                              <w14:schemeClr w14:val="bg1"/>
                            </w14:solidFill>
                          </w14:textFill>
                        </w:rPr>
                        <w:t>www.qyresearch.com</w:t>
                      </w:r>
                    </w:p>
                  </w:txbxContent>
                </v:textbox>
              </v:shape>
            </w:pict>
          </mc:Fallback>
        </mc:AlternateContent>
      </w:r>
      <w:r>
        <w:rPr>
          <w:rFonts w:cs="Calibri"/>
        </w:rPr>
        <mc:AlternateContent>
          <mc:Choice Requires="wps">
            <w:drawing>
              <wp:anchor distT="0" distB="0" distL="114300" distR="114300" simplePos="0" relativeHeight="251660288" behindDoc="0" locked="0" layoutInCell="1" allowOverlap="1">
                <wp:simplePos x="0" y="0"/>
                <wp:positionH relativeFrom="column">
                  <wp:posOffset>-283845</wp:posOffset>
                </wp:positionH>
                <wp:positionV relativeFrom="paragraph">
                  <wp:posOffset>2054860</wp:posOffset>
                </wp:positionV>
                <wp:extent cx="6337300" cy="1769110"/>
                <wp:effectExtent l="0" t="0" r="0" b="2540"/>
                <wp:wrapNone/>
                <wp:docPr id="1346" name="Text Box 479"/>
                <wp:cNvGraphicFramePr/>
                <a:graphic xmlns:a="http://schemas.openxmlformats.org/drawingml/2006/main">
                  <a:graphicData uri="http://schemas.microsoft.com/office/word/2010/wordprocessingShape">
                    <wps:wsp>
                      <wps:cNvSpPr txBox="1">
                        <a:spLocks noChangeArrowheads="1"/>
                      </wps:cNvSpPr>
                      <wps:spPr bwMode="auto">
                        <a:xfrm>
                          <a:off x="0" y="0"/>
                          <a:ext cx="6337005" cy="1769423"/>
                        </a:xfrm>
                        <a:prstGeom prst="rect">
                          <a:avLst/>
                        </a:prstGeom>
                        <a:noFill/>
                        <a:ln w="9525">
                          <a:noFill/>
                          <a:miter lim="800000"/>
                        </a:ln>
                        <a:effectLst/>
                      </wps:spPr>
                      <wps:txbx>
                        <w:txbxContent>
                          <w:p>
                            <w:pPr>
                              <w:widowControl/>
                              <w:topLinePunct w:val="0"/>
                              <w:jc w:val="left"/>
                              <w:rPr>
                                <w:rFonts w:ascii="Century Gothic" w:hAnsi="Century Gothic" w:cs="Arial"/>
                                <w:b/>
                                <w:color w:val="002060"/>
                                <w:spacing w:val="-30"/>
                                <w:kern w:val="0"/>
                                <w:sz w:val="56"/>
                                <w:szCs w:val="56"/>
                              </w:rPr>
                            </w:pPr>
                            <w:r>
                              <w:rPr>
                                <w:rFonts w:ascii="Century Gothic" w:hAnsi="Century Gothic" w:cs="Arial"/>
                                <w:b/>
                                <w:color w:val="002060"/>
                                <w:spacing w:val="-30"/>
                                <w:kern w:val="0"/>
                                <w:sz w:val="56"/>
                                <w:szCs w:val="56"/>
                              </w:rPr>
                              <w:t>数字计量泵</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wps:txbx>
                      <wps:bodyPr rot="0" vert="horz" wrap="square" lIns="91440" tIns="45720" rIns="91440" bIns="45720" anchor="t" anchorCtr="0">
                        <a:noAutofit/>
                      </wps:bodyPr>
                    </wps:wsp>
                  </a:graphicData>
                </a:graphic>
              </wp:anchor>
            </w:drawing>
          </mc:Choice>
          <mc:Fallback>
            <w:pict>
              <v:shape id="Text Box 479" o:spid="_x0000_s1026" o:spt="202" type="#_x0000_t202" style="position:absolute;left:0pt;margin-left:-22.35pt;margin-top:161.8pt;height:139.3pt;width:499pt;z-index:251660288;mso-width-relative:page;mso-height-relative:page;" filled="f" stroked="f" coordsize="21600,21600" o:gfxdata="UEsDBAoAAAAAAIdO4kAAAAAAAAAAAAAAAAAEAAAAZHJzL1BLAwQUAAAACACHTuJALvbpbNkAAAAL&#10;AQAADwAAAGRycy9kb3ducmV2LnhtbE2Py07DMBBF90j8gzVI7Fq7SRpoyKQLEFsqykNi58bTJCIe&#10;R7HbhL+vWcFydI/uPVNuZ9uLM42+c4ywWioQxLUzHTcI72/Pi3sQPmg2undMCD/kYVtdX5W6MG7i&#10;VzrvQyNiCftCI7QhDIWUvm7Jar90A3HMjm60OsRzbKQZ9RTLbS8TpXJpdcdxodUDPbZUf+9PFuHj&#10;5fj1mald82TXw+RmJdluJOLtzUo9gAg0hz8YfvWjOlTR6eBObLzoERZZdhdRhDRJcxCR2KzTFMQB&#10;IVdJArIq5f8fqgtQSwMEFAAAAAgAh07iQBDMBnIeAgAAPAQAAA4AAABkcnMvZTJvRG9jLnhtbK1T&#10;TY/bIBC9V+p/QNwbO4mTbKw4q+1GW1Xafki7/QEE4xgVGAokdvrrO2BvGm0ve6gPFjDDm3lvHpvb&#10;XityEs5LMBWdTnJKhOFQS3Oo6I/nhw83lPjATM0UGFHRs/D0dvv+3aazpZhBC6oWjiCI8WVnK9qG&#10;YMss87wVmvkJWGEw2IDTLODWHbLasQ7Rtcpmeb7MOnC1dcCF93i6G4J0RHRvAYSmkVzsgB+1MGFA&#10;dUKxgJR8K62n29Rt0wgevjWNF4GoiiLTkP5YBNf7+M+2G1YeHLOt5GML7C0tvOKkmTRY9AK1Y4GR&#10;o5P/QGnJHXhowoSDzgYiSRFkMc1fafPUMisSF5Ta24vo/v/B8q+n747IGp0wL5aUGKZx5s+iD+Qj&#10;9KRYraNEnfUlZj5ZzA09BjA90fX2EfhPTwzct8wcxJ1z0LWC1djiNN7Mrq4OOD6C7LsvUGMhdgyQ&#10;gPrG6agfKkIQHcdzvownNsPxcDmfr/J8QQnH2HS1XBezearBypfr1vnwSYAmcVFRh/NP8Oz06ENs&#10;h5UvKbGagQepVPKAMqSr6HoxW6QLVxEtAxpeSV3Rmzx+Y01lIoRIJhvRI9nIb2Aa+n0/ireH+oy0&#10;HQwGxOeHixbcb0o6NF9F/a8jc4IS9dmgdOtpUUS3pk2xWM1w464j++sIMxyhKhooGZb3ITl8YHiH&#10;EjcykY/tDZ2Mg0FTJU3GBxBde71PWX8f/f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bpbNkA&#10;AAALAQAADwAAAAAAAAABACAAAAAiAAAAZHJzL2Rvd25yZXYueG1sUEsBAhQAFAAAAAgAh07iQBDM&#10;BnIeAgAAPAQAAA4AAAAAAAAAAQAgAAAAKAEAAGRycy9lMm9Eb2MueG1sUEsFBgAAAAAGAAYAWQEA&#10;ALgFAAAAAA==&#10;">
                <v:fill on="f" focussize="0,0"/>
                <v:stroke on="f" miterlimit="8" joinstyle="miter"/>
                <v:imagedata o:title=""/>
                <o:lock v:ext="edit" aspectratio="f"/>
                <v:textbox>
                  <w:txbxContent>
                    <w:p>
                      <w:pPr>
                        <w:widowControl/>
                        <w:topLinePunct w:val="0"/>
                        <w:jc w:val="left"/>
                        <w:rPr>
                          <w:rFonts w:ascii="Century Gothic" w:hAnsi="Century Gothic" w:cs="Arial"/>
                          <w:b/>
                          <w:color w:val="002060"/>
                          <w:spacing w:val="-30"/>
                          <w:kern w:val="0"/>
                          <w:sz w:val="56"/>
                          <w:szCs w:val="56"/>
                        </w:rPr>
                      </w:pPr>
                      <w:r>
                        <w:rPr>
                          <w:rFonts w:ascii="Century Gothic" w:hAnsi="Century Gothic" w:cs="Arial"/>
                          <w:b/>
                          <w:color w:val="002060"/>
                          <w:spacing w:val="-30"/>
                          <w:kern w:val="0"/>
                          <w:sz w:val="56"/>
                          <w:szCs w:val="56"/>
                        </w:rPr>
                        <w:t>数字计量泵</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v:textbox>
              </v:shape>
            </w:pict>
          </mc:Fallback>
        </mc:AlternateContent>
      </w:r>
      <w:r>
        <w:rPr>
          <w:rFonts w:cs="Calibri"/>
        </w:rPr>
        <mc:AlternateContent>
          <mc:Choice Requires="wps">
            <w:drawing>
              <wp:anchor distT="0" distB="0" distL="114300" distR="114300" simplePos="0" relativeHeight="251661312" behindDoc="0" locked="0" layoutInCell="1" allowOverlap="1">
                <wp:simplePos x="0" y="0"/>
                <wp:positionH relativeFrom="column">
                  <wp:posOffset>-153035</wp:posOffset>
                </wp:positionH>
                <wp:positionV relativeFrom="paragraph">
                  <wp:posOffset>3918585</wp:posOffset>
                </wp:positionV>
                <wp:extent cx="4971415" cy="0"/>
                <wp:effectExtent l="0" t="19050" r="19685" b="19050"/>
                <wp:wrapNone/>
                <wp:docPr id="1348" name="Straight Connector 38"/>
                <wp:cNvGraphicFramePr/>
                <a:graphic xmlns:a="http://schemas.openxmlformats.org/drawingml/2006/main">
                  <a:graphicData uri="http://schemas.microsoft.com/office/word/2010/wordprocessingShape">
                    <wps:wsp>
                      <wps:cNvCnPr/>
                      <wps:spPr>
                        <a:xfrm>
                          <a:off x="0" y="0"/>
                          <a:ext cx="4971415" cy="0"/>
                        </a:xfrm>
                        <a:prstGeom prst="line">
                          <a:avLst/>
                        </a:prstGeom>
                        <a:ln w="28575">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o:spt="20" style="position:absolute;left:0pt;margin-left:-12.05pt;margin-top:308.55pt;height:0pt;width:391.45pt;z-index:251661312;mso-width-relative:page;mso-height-relative:page;" filled="f" stroked="t" coordsize="21600,21600" o:gfxdata="UEsDBAoAAAAAAIdO4kAAAAAAAAAAAAAAAAAEAAAAZHJzL1BLAwQUAAAACACHTuJA1p+w2NkAAAAL&#10;AQAADwAAAGRycy9kb3ducmV2LnhtbE2PT0vDQBDF74LfYRmht3azofZPmk0PQkFoFawiPW6zYxKa&#10;nY3ZTVu/vSMIepuZ93jze/n66lpxxj40njSoSQICqfS2oUrD2+tmvAARoiFrWk+o4QsDrIvbm9xk&#10;1l/oBc/7WAkOoZAZDXWMXSZlKGt0Jkx8h8Tah++dibz2lbS9uXC4a2WaJDPpTEP8oTYdPtRYnvaD&#10;0zA03ePnk/M7lW7Ukg7Py9P71mo9ulPJCkTEa/wzww8+o0PBTEc/kA2i1TBOp4qtGmZqzgM75vcL&#10;LnP8vcgil/87FN9QSwMEFAAAAAgAh07iQEugHhzbAQAAuQMAAA4AAABkcnMvZTJvRG9jLnhtbK1T&#10;y27bMBC8F+g/ELzXkh2ncQXLOdhwL0VrIO0H0BQpEeALu4xl/32XlOO06SWHXiRylzu7MxyuH8/O&#10;spMCNMG3fD6rOVNehs74vuW/fu4/rTjDJHwnbPCq5ReF/HHz8cN6jI1ahCHYTgEjEI/NGFs+pBSb&#10;qkI5KCdwFqLylNQBnEi0hb7qQIyE7my1qOvP1RigixCkQqTobkryKyK8BzBobaTaBfnslE8TKigr&#10;ElHCwUTkmzKt1kqmH1qjSsy2nJim8qUmtD7mb7VZi6YHEQcjryOI94zwhpMTxlPTG9ROJMGewfwD&#10;5YyEgEGnmQyumogURYjFvH6jzdMgoipcSGqMN9Hx/8HK76cDMNORE+6WdPNeOLrzpwTC9ENi2+A9&#10;aRiA3a2yVmPEhkq2/gDXHcYDZOJnDS7/iRI7F30vN33VOTFJweWXh/lyfs+ZfMlVr4URMH1VwbG8&#10;aLk1PlMXjTh9w0TN6OjLkRz2YW+sLddnPRtbvljdP2RoQZ7U5AVauki80PecCduT2WWCAonBmi6X&#10;ZyCE/ri1wE6CLLLfb+u6uILa/XUs994JHKZzJTWZx5lE78Ea1/IV1d6qraeZs16TQnl1DN2lCFfi&#10;dKOF1dV92TJ/7kv164vb/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Wn7DY2QAAAAsBAAAPAAAA&#10;AAAAAAEAIAAAACIAAABkcnMvZG93bnJldi54bWxQSwECFAAUAAAACACHTuJAS6AeHNsBAAC5AwAA&#10;DgAAAAAAAAABACAAAAAoAQAAZHJzL2Uyb0RvYy54bWxQSwUGAAAAAAYABgBZAQAAdQUAAAAA&#10;">
                <v:fill on="f" focussize="0,0"/>
                <v:stroke weight="2.25pt" color="#FFC000 [3207]" miterlimit="8" joinstyle="miter"/>
                <v:imagedata o:title=""/>
                <o:lock v:ext="edit" aspectratio="f"/>
              </v:line>
            </w:pict>
          </mc:Fallback>
        </mc:AlternateContent>
      </w:r>
      <w:r>
        <w:rPr>
          <w:rFonts w:cs="Calibri"/>
        </w:rPr>
        <w:drawing>
          <wp:anchor distT="0" distB="0" distL="114300" distR="114300" simplePos="0" relativeHeight="251662336" behindDoc="1" locked="0" layoutInCell="1" allowOverlap="1">
            <wp:simplePos x="0" y="0"/>
            <wp:positionH relativeFrom="page">
              <wp:posOffset>-62230</wp:posOffset>
            </wp:positionH>
            <wp:positionV relativeFrom="page">
              <wp:posOffset>-37465</wp:posOffset>
            </wp:positionV>
            <wp:extent cx="7665085" cy="1073467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665079" cy="10734675"/>
                    </a:xfrm>
                    <a:prstGeom prst="rect">
                      <a:avLst/>
                    </a:prstGeom>
                  </pic:spPr>
                </pic:pic>
              </a:graphicData>
            </a:graphic>
          </wp:anchor>
        </w:drawing>
      </w:r>
    </w:p>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p>
    <w:bookmarkEnd w:id="0"/>
    <w:p>
      <w:pPr>
        <w:pStyle w:val="167"/>
        <w:rPr>
          <w:lang w:eastAsia="zh-CN"/>
        </w:rPr>
      </w:pPr>
      <w:r>
        <w:rPr>
          <w:lang w:eastAsia="zh-CN"/>
        </w:rPr>
        <w:t>数字计量泵</w:t>
      </w:r>
      <w:r>
        <w:rPr>
          <w:rFonts w:hint="eastAsia"/>
          <w:lang w:eastAsia="zh-CN"/>
        </w:rPr>
        <w:t>全球市场总体规模</w:t>
      </w:r>
    </w:p>
    <w:p>
      <w:pPr>
        <w:pStyle w:val="145"/>
        <w:rPr>
          <w:lang w:eastAsia="zh-CN"/>
        </w:rPr>
      </w:pPr>
      <w:r>
        <w:rPr>
          <w:rFonts w:hint="eastAsia"/>
          <w:lang w:eastAsia="zh-CN"/>
        </w:rPr>
        <w:t>数字计量泵是一种先进的流量计量设备，其采用了数字化技术，能够非常精准地测量流量，广泛应用于各种工业领域中。</w:t>
      </w:r>
    </w:p>
    <w:p>
      <w:pPr>
        <w:pStyle w:val="145"/>
        <w:jc w:val="center"/>
        <w:rPr>
          <w:rFonts w:hint="eastAsia"/>
          <w:lang w:eastAsia="zh-CN"/>
        </w:rPr>
      </w:pPr>
      <w:r>
        <w:drawing>
          <wp:inline distT="0" distB="0" distL="0" distR="0">
            <wp:extent cx="3486150" cy="261429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495199" cy="2621399"/>
                    </a:xfrm>
                    <a:prstGeom prst="rect">
                      <a:avLst/>
                    </a:prstGeom>
                  </pic:spPr>
                </pic:pic>
              </a:graphicData>
            </a:graphic>
          </wp:inline>
        </w:drawing>
      </w:r>
    </w:p>
    <w:p>
      <w:pPr>
        <w:pStyle w:val="145"/>
        <w:rPr>
          <w:lang w:eastAsia="zh-CN"/>
        </w:rPr>
      </w:pPr>
      <w:r>
        <w:rPr>
          <w:rFonts w:hint="eastAsia"/>
          <w:lang w:eastAsia="zh-CN"/>
        </w:rPr>
        <w:t>据QYResearch调研团队最新报告“全球数字计量泵市场报告2023-2029”显示，预计2029年全球数字计量泵市场规模将达到4.2亿美元，未来几年年复合增长率CAGR为6.1%。</w:t>
      </w:r>
    </w:p>
    <w:p>
      <w:pPr>
        <w:pStyle w:val="145"/>
        <w:rPr>
          <w:lang w:eastAsia="zh-CN"/>
        </w:rPr>
      </w:pPr>
    </w:p>
    <w:p>
      <w:pPr>
        <w:pStyle w:val="148"/>
        <w:rPr>
          <w:lang w:eastAsia="zh-CN"/>
        </w:rPr>
      </w:pPr>
      <w:r>
        <w:rPr>
          <w:lang w:eastAsia="zh-CN"/>
        </w:rPr>
        <w:t>数字计量泵</w:t>
      </w:r>
      <w:r>
        <w:rPr>
          <w:rFonts w:hint="eastAsia"/>
          <w:lang w:eastAsia="zh-CN"/>
        </w:rPr>
        <w:t>，全球市场总体规模，预计2</w:t>
      </w:r>
      <w:r>
        <w:rPr>
          <w:lang w:eastAsia="zh-CN"/>
        </w:rPr>
        <w:t>029</w:t>
      </w:r>
      <w:r>
        <w:rPr>
          <w:rFonts w:hint="eastAsia"/>
          <w:lang w:eastAsia="zh-CN"/>
        </w:rPr>
        <w:t>年达到</w:t>
      </w:r>
      <w:r>
        <w:rPr>
          <w:lang w:eastAsia="zh-CN"/>
        </w:rPr>
        <w:t>4.2</w:t>
      </w:r>
      <w:r>
        <w:rPr>
          <w:rFonts w:hint="eastAsia"/>
          <w:lang w:eastAsia="zh-CN"/>
        </w:rPr>
        <w:t>亿美元</w:t>
      </w:r>
    </w:p>
    <w:p>
      <w:pPr>
        <w:pStyle w:val="145"/>
      </w:pPr>
      <w:r>
        <w:drawing>
          <wp:inline distT="0" distB="0" distL="0" distR="0">
            <wp:extent cx="6188710" cy="2922270"/>
            <wp:effectExtent l="0" t="0" r="254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w:t>
      </w:r>
      <w:r>
        <w:rPr>
          <w:lang w:eastAsia="zh-CN"/>
        </w:rPr>
        <w:t>数字计量泵</w:t>
      </w:r>
      <w:r>
        <w:rPr>
          <w:rFonts w:hint="eastAsia"/>
          <w:lang w:eastAsia="zh-CN"/>
        </w:rPr>
        <w:t>市场研究报告2023-2029</w:t>
      </w:r>
      <w:r>
        <w:rPr>
          <w:lang w:eastAsia="zh-CN"/>
        </w:rPr>
        <w:t>.</w:t>
      </w:r>
    </w:p>
    <w:p>
      <w:pPr>
        <w:pStyle w:val="145"/>
        <w:rPr>
          <w:lang w:eastAsia="zh-CN"/>
        </w:rPr>
      </w:pPr>
      <w:r>
        <w:rPr>
          <w:rFonts w:hint="eastAsia"/>
          <w:lang w:eastAsia="zh-CN"/>
        </w:rPr>
        <w:t>主要驱动因素</w:t>
      </w:r>
      <w:r>
        <w:rPr>
          <w:lang w:eastAsia="zh-CN"/>
        </w:rPr>
        <w:t>:</w:t>
      </w:r>
    </w:p>
    <w:p>
      <w:pPr>
        <w:pStyle w:val="145"/>
        <w:rPr>
          <w:rFonts w:hint="eastAsia"/>
          <w:lang w:eastAsia="zh-CN"/>
        </w:rPr>
      </w:pPr>
      <w:r>
        <w:rPr>
          <w:rFonts w:hint="eastAsia"/>
          <w:lang w:eastAsia="zh-CN"/>
        </w:rPr>
        <w:t>数字计量泵能够提供高精度和精确的计量能力。它们能够准确地输送化学品或添加剂，确保计量应用的一致性。在水处理、食品饮料和制药等行业，准确的计量是至关重要的。数字计量泵可以轻松集成到自动化系统中，并可远程控制。它们可以编程以在准确的时间间隔内提供特定剂量，减少了对人工干预的需求。自动化与控制能力提高了工艺效率，减少人为错误，提高整体生产力。数字计量泵使用简便，并需要较少的维护工作。它们配备了先进的监控和控制系统，提供实时的计量性能反馈。这使操作人员更容易调整计量参数并解决任何问题，确保平稳运行并将停机时间降至最低。</w:t>
      </w:r>
    </w:p>
    <w:p>
      <w:pPr>
        <w:pStyle w:val="145"/>
        <w:rPr>
          <w:lang w:eastAsia="zh-CN"/>
        </w:rPr>
      </w:pPr>
      <w:r>
        <w:rPr>
          <w:rFonts w:hint="eastAsia"/>
          <w:lang w:eastAsia="zh-CN"/>
        </w:rPr>
        <w:t>主要阻碍因素</w:t>
      </w:r>
      <w:r>
        <w:rPr>
          <w:lang w:eastAsia="zh-CN"/>
        </w:rPr>
        <w:t>:</w:t>
      </w:r>
    </w:p>
    <w:p>
      <w:pPr>
        <w:pStyle w:val="145"/>
        <w:rPr>
          <w:rFonts w:hint="eastAsia"/>
          <w:lang w:eastAsia="zh-CN"/>
        </w:rPr>
      </w:pPr>
      <w:r>
        <w:rPr>
          <w:rFonts w:hint="eastAsia"/>
          <w:lang w:eastAsia="zh-CN"/>
        </w:rPr>
        <w:t>数字计量泵需要定期进行校准以确保精确计量，并需要定期维护以保持良好的工作状态。这可能增加额外的成本，并需要熟练的技术人员，对于一些资源有限或缺乏专业知识的用户而言可能存在一定的挑战。数字计量泵的操作依赖于电力供应的稳定性。在某些应用或偏远地区，稳定的电力供应可能不容易获得。这可能限制数字计量泵在某些地区的使用，或需要额外的备用电源设施，增加了系统的复杂性和成本。</w:t>
      </w:r>
    </w:p>
    <w:p>
      <w:pPr>
        <w:pStyle w:val="145"/>
        <w:rPr>
          <w:lang w:eastAsia="zh-CN"/>
        </w:rPr>
      </w:pPr>
      <w:r>
        <w:rPr>
          <w:rFonts w:hint="eastAsia"/>
          <w:lang w:eastAsia="zh-CN"/>
        </w:rPr>
        <w:t>行业发展机遇</w:t>
      </w:r>
      <w:r>
        <w:rPr>
          <w:lang w:eastAsia="zh-CN"/>
        </w:rPr>
        <w:t>:</w:t>
      </w:r>
    </w:p>
    <w:p>
      <w:pPr>
        <w:pStyle w:val="145"/>
        <w:rPr>
          <w:lang w:eastAsia="zh-CN"/>
        </w:rPr>
      </w:pPr>
      <w:r>
        <w:rPr>
          <w:rFonts w:hint="eastAsia"/>
          <w:lang w:eastAsia="zh-CN"/>
        </w:rPr>
        <w:t>随着自动化和智能制造的兴起，工厂和生产线对数字计量泵的需求不断增加。数字计量泵可以集成到自动化系统中实现智能控制和远程监测，提高生产效率和过程优化。在医药和食品饮料行业中，精确的计量和稳定的生产过程至关重要。数字计量泵可以通过其精确的计量能力和高度可控的性能满足这些行业对剂量准确性和质量稳定性的要求。</w:t>
      </w:r>
      <w:r>
        <w:rPr>
          <w:rFonts w:ascii="Segoe UI" w:hAnsi="Segoe UI" w:cs="Segoe UI"/>
          <w:color w:val="000000"/>
          <w:szCs w:val="21"/>
          <w:shd w:val="clear" w:color="auto" w:fill="FFFFFF"/>
          <w:lang w:eastAsia="zh-CN"/>
        </w:rPr>
        <w:t>新兴经济体中工业化和城市化的快速增长为数字计量泵市场带来了机遇。这些国家和地区的水处理、制药、化工等行业对数字计量泵的需求不断增加，推动了市场的发展。</w:t>
      </w:r>
    </w:p>
    <w:p>
      <w:pPr>
        <w:pStyle w:val="145"/>
        <w:rPr>
          <w:lang w:eastAsia="zh-CN"/>
        </w:rPr>
      </w:pPr>
    </w:p>
    <w:p>
      <w:pPr>
        <w:pStyle w:val="148"/>
        <w:rPr>
          <w:lang w:eastAsia="zh-CN"/>
        </w:rPr>
      </w:pPr>
      <w:r>
        <w:rPr>
          <w:rFonts w:hint="eastAsia"/>
          <w:lang w:eastAsia="zh-CN"/>
        </w:rPr>
        <w:t>全球</w:t>
      </w:r>
      <w:r>
        <w:rPr>
          <w:lang w:eastAsia="zh-CN"/>
        </w:rPr>
        <w:t>数字计量泵</w:t>
      </w:r>
      <w:r>
        <w:rPr>
          <w:rFonts w:hint="eastAsia"/>
          <w:lang w:eastAsia="zh-CN"/>
        </w:rPr>
        <w:t>市场前</w:t>
      </w:r>
      <w:r>
        <w:rPr>
          <w:lang w:eastAsia="zh-CN"/>
        </w:rPr>
        <w:t>6</w:t>
      </w:r>
      <w:r>
        <w:rPr>
          <w:rFonts w:hint="eastAsia"/>
          <w:lang w:eastAsia="zh-CN"/>
        </w:rPr>
        <w:t>强生产商排名及市场占有率（持续更新）</w:t>
      </w:r>
    </w:p>
    <w:p>
      <w:pPr>
        <w:pStyle w:val="145"/>
        <w:jc w:val="center"/>
      </w:pPr>
      <w:r>
        <w:drawing>
          <wp:inline distT="0" distB="0" distL="0" distR="0">
            <wp:extent cx="4572000" cy="4399915"/>
            <wp:effectExtent l="0" t="0" r="0" b="6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43"/>
        <w:rPr>
          <w:lang w:eastAsia="zh-CN"/>
        </w:rPr>
      </w:pPr>
      <w:r>
        <w:rPr>
          <w:rFonts w:hint="eastAsia"/>
          <w:lang w:eastAsia="zh-CN"/>
        </w:rPr>
        <w:t>如上图表/数据，摘自QYResearch最新报告“全球</w:t>
      </w:r>
      <w:r>
        <w:rPr>
          <w:lang w:eastAsia="zh-CN"/>
        </w:rPr>
        <w:t>数字计量泵</w:t>
      </w:r>
      <w:r>
        <w:rPr>
          <w:rFonts w:hint="eastAsia"/>
          <w:lang w:eastAsia="zh-CN"/>
        </w:rPr>
        <w:t>市场研究报告2023-2029</w:t>
      </w:r>
      <w:r>
        <w:rPr>
          <w:lang w:eastAsia="zh-CN"/>
        </w:rPr>
        <w:t>.</w:t>
      </w:r>
    </w:p>
    <w:p>
      <w:pPr>
        <w:pStyle w:val="145"/>
        <w:rPr>
          <w:lang w:eastAsia="zh-CN"/>
        </w:rPr>
      </w:pPr>
      <w:r>
        <w:rPr>
          <w:rFonts w:hint="eastAsia"/>
          <w:lang w:eastAsia="zh-CN"/>
        </w:rPr>
        <w:t>全球范围内，</w:t>
      </w:r>
      <w:r>
        <w:rPr>
          <w:lang w:eastAsia="zh-CN"/>
        </w:rPr>
        <w:t>数字计量泵</w:t>
      </w:r>
      <w:r>
        <w:rPr>
          <w:rFonts w:hint="eastAsia"/>
          <w:lang w:eastAsia="zh-CN"/>
        </w:rPr>
        <w:t>主要生产商包括</w:t>
      </w:r>
      <w:r>
        <w:rPr>
          <w:lang w:eastAsia="zh-CN"/>
        </w:rPr>
        <w:t>Grundfos</w:t>
      </w:r>
      <w:r>
        <w:rPr>
          <w:rFonts w:hint="eastAsia"/>
          <w:lang w:eastAsia="zh-CN"/>
        </w:rPr>
        <w:t>,</w:t>
      </w:r>
      <w:r>
        <w:rPr>
          <w:lang w:eastAsia="zh-CN"/>
        </w:rPr>
        <w:t xml:space="preserve"> ProMinent</w:t>
      </w:r>
      <w:r>
        <w:rPr>
          <w:rFonts w:hint="eastAsia"/>
          <w:lang w:eastAsia="zh-CN"/>
        </w:rPr>
        <w:t>,</w:t>
      </w:r>
      <w:r>
        <w:rPr>
          <w:lang w:eastAsia="zh-CN"/>
        </w:rPr>
        <w:t xml:space="preserve"> Burkert, Blue-White Industries</w:t>
      </w:r>
      <w:r>
        <w:rPr>
          <w:rFonts w:hint="eastAsia"/>
          <w:lang w:eastAsia="zh-CN"/>
        </w:rPr>
        <w:t>,</w:t>
      </w:r>
      <w:r>
        <w:rPr>
          <w:lang w:eastAsia="zh-CN"/>
        </w:rPr>
        <w:t xml:space="preserve"> Seko</w:t>
      </w:r>
      <w:r>
        <w:rPr>
          <w:rFonts w:hint="eastAsia"/>
          <w:lang w:eastAsia="zh-CN"/>
        </w:rPr>
        <w:t xml:space="preserve"> </w:t>
      </w:r>
      <w:r>
        <w:rPr>
          <w:lang w:eastAsia="zh-CN"/>
        </w:rPr>
        <w:t>and SERA</w:t>
      </w:r>
      <w:r>
        <w:rPr>
          <w:rFonts w:hint="eastAsia"/>
          <w:lang w:eastAsia="zh-CN"/>
        </w:rPr>
        <w:t>等，其中前五大厂商占有大约</w:t>
      </w:r>
      <w:r>
        <w:rPr>
          <w:lang w:eastAsia="zh-CN"/>
        </w:rPr>
        <w:t>74</w:t>
      </w:r>
      <w:r>
        <w:rPr>
          <w:rFonts w:hint="eastAsia"/>
          <w:lang w:eastAsia="zh-CN"/>
        </w:rPr>
        <w:t>%的市场份额。</w:t>
      </w:r>
    </w:p>
    <w:p>
      <w:pPr>
        <w:pStyle w:val="145"/>
        <w:rPr>
          <w:lang w:eastAsia="zh-CN"/>
        </w:rPr>
      </w:pPr>
      <w:r>
        <w:rPr>
          <w:lang w:eastAsia="zh-CN"/>
        </w:rPr>
        <w:br w:type="page"/>
      </w:r>
    </w:p>
    <w:p>
      <w:pPr>
        <w:pStyle w:val="148"/>
        <w:rPr>
          <w:lang w:eastAsia="zh-CN"/>
        </w:rPr>
      </w:pPr>
      <w:r>
        <w:rPr>
          <w:lang w:eastAsia="zh-CN"/>
        </w:rPr>
        <w:t>数字计量泵</w:t>
      </w:r>
      <w:r>
        <w:rPr>
          <w:rFonts w:hint="eastAsia"/>
          <w:lang w:eastAsia="zh-CN"/>
        </w:rPr>
        <w:t>，全球市场规模，按产品类型细分，隔膜泵处于主导地位</w:t>
      </w:r>
    </w:p>
    <w:p>
      <w:pPr>
        <w:pStyle w:val="145"/>
        <w:rPr>
          <w:rFonts w:hint="eastAsia"/>
          <w:lang w:eastAsia="zh-CN"/>
        </w:rPr>
      </w:pPr>
      <w:r>
        <w:rPr>
          <w:lang w:val="en-US" w:eastAsia="zh-CN"/>
        </w:rPr>
        <w:drawing>
          <wp:inline distT="0" distB="0" distL="0" distR="0">
            <wp:extent cx="6639560" cy="3067685"/>
            <wp:effectExtent l="0" t="0" r="889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639560" cy="306768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数字计量泵</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就产品类型而言，目前隔膜泵是最主要的细分产品，占据大约</w:t>
      </w:r>
      <w:r>
        <w:rPr>
          <w:lang w:eastAsia="zh-CN"/>
        </w:rPr>
        <w:t>56</w:t>
      </w:r>
      <w:r>
        <w:rPr>
          <w:rFonts w:hint="eastAsia"/>
          <w:lang w:eastAsia="zh-CN"/>
        </w:rPr>
        <w:t>%的份额。</w:t>
      </w:r>
      <w:bookmarkStart w:id="20" w:name="_GoBack"/>
      <w:bookmarkEnd w:id="20"/>
    </w:p>
    <w:p>
      <w:pPr>
        <w:pStyle w:val="145"/>
        <w:rPr>
          <w:lang w:eastAsia="zh-CN"/>
        </w:rPr>
      </w:pPr>
      <w:r>
        <w:rPr>
          <w:rFonts w:hint="eastAsia"/>
          <w:lang w:eastAsia="zh-CN"/>
        </w:rPr>
        <w:t>就产品类型而言，目前工业制造是最主要的需求来源，占据大约</w:t>
      </w:r>
      <w:r>
        <w:rPr>
          <w:lang w:eastAsia="zh-CN"/>
        </w:rPr>
        <w:t>38</w:t>
      </w:r>
      <w:r>
        <w:rPr>
          <w:rFonts w:hint="eastAsia"/>
          <w:lang w:eastAsia="zh-CN"/>
        </w:rPr>
        <w:t>%的份额。</w:t>
      </w:r>
    </w:p>
    <w:p>
      <w:pPr>
        <w:pStyle w:val="145"/>
        <w:rPr>
          <w:lang w:eastAsia="zh-CN"/>
        </w:rPr>
      </w:pPr>
    </w:p>
    <w:p>
      <w:pPr>
        <w:pStyle w:val="145"/>
        <w:rPr>
          <w:lang w:eastAsia="zh-CN"/>
        </w:rPr>
      </w:pPr>
    </w:p>
    <w:p>
      <w:pPr>
        <w:pStyle w:val="145"/>
        <w:rPr>
          <w:lang w:eastAsia="zh-CN"/>
        </w:rPr>
      </w:pPr>
      <w:r>
        <w:rPr>
          <w:lang w:eastAsia="zh-CN"/>
        </w:rPr>
        <w:br w:type="page"/>
      </w:r>
    </w:p>
    <w:p>
      <w:pPr>
        <w:pStyle w:val="148"/>
        <w:rPr>
          <w:lang w:eastAsia="zh-CN"/>
        </w:rPr>
      </w:pPr>
      <w:r>
        <w:rPr>
          <w:rFonts w:hint="eastAsia"/>
          <w:lang w:eastAsia="zh-CN"/>
        </w:rPr>
        <w:t>全球主要市场</w:t>
      </w:r>
      <w:r>
        <w:rPr>
          <w:lang w:eastAsia="zh-CN"/>
        </w:rPr>
        <w:t>数字计量泵</w:t>
      </w:r>
      <w:r>
        <w:rPr>
          <w:rFonts w:hint="eastAsia"/>
          <w:lang w:eastAsia="zh-CN"/>
        </w:rPr>
        <w:t>规模</w:t>
      </w:r>
    </w:p>
    <w:p>
      <w:pPr>
        <w:pStyle w:val="145"/>
        <w:rPr>
          <w:lang w:val="en-US" w:eastAsia="zh-CN"/>
        </w:rPr>
      </w:pPr>
      <w:r>
        <w:drawing>
          <wp:inline distT="0" distB="0" distL="0" distR="0">
            <wp:extent cx="6188710" cy="2922270"/>
            <wp:effectExtent l="0" t="0" r="2540" b="0"/>
            <wp:docPr id="24" name="图表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143"/>
        <w:rPr>
          <w:lang w:eastAsia="zh-CN"/>
        </w:rPr>
      </w:pPr>
      <w:r>
        <w:rPr>
          <w:rFonts w:hint="eastAsia"/>
          <w:lang w:eastAsia="zh-CN"/>
        </w:rPr>
        <w:t>如上图表/数据，摘自QYResearch最新报告“全球</w:t>
      </w:r>
      <w:r>
        <w:rPr>
          <w:lang w:eastAsia="zh-CN"/>
        </w:rPr>
        <w:t>数字计量泵</w:t>
      </w:r>
      <w:r>
        <w:rPr>
          <w:rFonts w:hint="eastAsia"/>
          <w:lang w:eastAsia="zh-CN"/>
        </w:rPr>
        <w:t>市场研究报告2023-2029</w:t>
      </w:r>
      <w:r>
        <w:rPr>
          <w:lang w:eastAsia="zh-CN"/>
        </w:rPr>
        <w:t>.</w:t>
      </w:r>
    </w:p>
    <w:p>
      <w:pPr>
        <w:pStyle w:val="145"/>
        <w:rPr>
          <w:lang w:eastAsia="zh-CN"/>
        </w:rPr>
      </w:pPr>
    </w:p>
    <w:p>
      <w:pPr>
        <w:pStyle w:val="145"/>
        <w:rPr>
          <w:lang w:eastAsia="zh-CN"/>
        </w:rPr>
      </w:pPr>
    </w:p>
    <w:p>
      <w:pPr>
        <w:pStyle w:val="145"/>
        <w:rPr>
          <w:lang w:eastAsia="zh-CN"/>
        </w:rPr>
      </w:pPr>
      <w:r>
        <w:rPr>
          <w:lang w:eastAsia="zh-CN"/>
        </w:rPr>
        <w:br w:type="page"/>
      </w:r>
    </w:p>
    <w:bookmarkEnd w:id="1"/>
    <w:bookmarkEnd w:id="2"/>
    <w:bookmarkEnd w:id="3"/>
    <w:bookmarkEnd w:id="4"/>
    <w:bookmarkEnd w:id="5"/>
    <w:bookmarkEnd w:id="6"/>
    <w:bookmarkEnd w:id="7"/>
    <w:bookmarkEnd w:id="8"/>
    <w:bookmarkEnd w:id="9"/>
    <w:bookmarkEnd w:id="10"/>
    <w:bookmarkEnd w:id="11"/>
    <w:bookmarkEnd w:id="12"/>
    <w:bookmarkEnd w:id="13"/>
    <w:p>
      <w:pPr>
        <w:pStyle w:val="167"/>
        <w:rPr>
          <w:lang w:eastAsia="zh-CN"/>
        </w:rPr>
      </w:pPr>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4" w:name="_Hlk149300691"/>
    <w:bookmarkStart w:id="15" w:name="_Hlk149300690"/>
    <w:bookmarkStart w:id="16" w:name="_Hlk149300688"/>
    <w:bookmarkStart w:id="17" w:name="_Hlk149300692"/>
    <w:bookmarkStart w:id="18" w:name="_Hlk149300687"/>
    <w:bookmarkStart w:id="19" w:name="_Hlk149300689"/>
    <w:r>
      <w:t xml:space="preserve">Copyright © QYResearch | market@qyresearch.com | </w:t>
    </w:r>
    <w:bookmarkEnd w:id="14"/>
    <w:bookmarkEnd w:id="15"/>
    <w:bookmarkEnd w:id="16"/>
    <w:bookmarkEnd w:id="17"/>
    <w:bookmarkEnd w:id="18"/>
    <w:bookmarkEnd w:id="19"/>
    <w:r>
      <w:t>www.qyresearch.com.cn</w:t>
    </w:r>
  </w:p>
  <w:p>
    <w:pPr>
      <w:pStyle w:val="2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494"/>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281"/>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1B0"/>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6CD"/>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2B0752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qFormat="1"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qFormat="1"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autoRedefin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autoRedefine/>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uiPriority w:val="0"/>
    <w:rPr>
      <w:i/>
      <w:iCs/>
    </w:rPr>
  </w:style>
  <w:style w:type="character" w:styleId="71">
    <w:name w:val="Hyperlink"/>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目录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3.xml"/><Relationship Id="rId12" Type="http://schemas.openxmlformats.org/officeDocument/2006/relationships/image" Target="media/image4.png"/><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4" Type="http://schemas.microsoft.com/office/2011/relationships/chartColorStyle" Target="colors3.xml"/><Relationship Id="rId3" Type="http://schemas.microsoft.com/office/2011/relationships/chartStyle" Target="style3.xml"/><Relationship Id="rId2" Type="http://schemas.openxmlformats.org/officeDocument/2006/relationships/chartUserShapes" Target="../drawings/drawing1.xml"/><Relationship Id="rId1" Type="http://schemas.openxmlformats.org/officeDocument/2006/relationships/oleObject" Target="file:///G:\M&#30446;&#24405;\2018&#24180;1&#26376;&#26368;&#26032;excel&#30446;&#24405;&#27169;&#26495;\2020&#30446;&#24405;\&#26032;&#38395;&#31295;\&#35266;&#28857;&#25968;&#25454;&#22270;&#34920;&#27169;&#26495;-&#20840;&#29699;20230925%20-%20&#21103;&#26412;.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M&#30446;&#24405;\2018&#24180;1&#26376;&#26368;&#26032;excel&#30446;&#24405;&#27169;&#26495;\2020&#30446;&#24405;\&#26032;&#38395;&#31295;\&#35266;&#28857;&#25968;&#25454;&#22270;&#34920;&#27169;&#26495;-&#20840;&#29699;20230925%20-%20&#21103;&#26412;.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M&#30446;&#24405;\2018&#24180;1&#26376;&#26368;&#26032;excel&#30446;&#24405;&#27169;&#26495;\2020&#30446;&#24405;\&#26032;&#38395;&#31295;\&#35266;&#28857;&#25968;&#25454;&#22270;&#34920;&#27169;&#26495;-&#20840;&#29699;20230925%20-%20&#21103;&#2641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zh-CN" altLang="en-US" sz="1100">
                <a:latin typeface="Book Antiqua" panose="02040602050305030304" pitchFamily="1" charset="0"/>
              </a:rPr>
              <a:t>全球市场规模（百万美元），</a:t>
            </a:r>
            <a:r>
              <a:rPr lang="en-US" altLang="zh-CN" sz="1100">
                <a:latin typeface="Book Antiqua" panose="02040602050305030304" pitchFamily="1" charset="0"/>
              </a:rPr>
              <a:t>2022 VS 2029</a:t>
            </a:r>
            <a:endParaRPr lang="en-US" altLang="zh-CN" sz="11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全球总体!$C$21:$D$21</c:f>
              <c:numCache>
                <c:formatCode>General</c:formatCode>
                <c:ptCount val="2"/>
                <c:pt idx="0">
                  <c:v>2022</c:v>
                </c:pt>
                <c:pt idx="1">
                  <c:v>2029</c:v>
                </c:pt>
              </c:numCache>
            </c:numRef>
          </c:cat>
          <c:val>
            <c:numRef>
              <c:f>全球总体!$C$22:$D$22</c:f>
              <c:numCache>
                <c:formatCode>#,##0_ </c:formatCode>
                <c:ptCount val="2"/>
                <c:pt idx="0">
                  <c:v>277.89</c:v>
                </c:pt>
                <c:pt idx="1">
                  <c:v>418.35</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Lbls>
            <c:delete val="1"/>
          </c:dLbls>
          <c:cat>
            <c:strRef>
              <c:f>企业排序!$F$2:$F$7</c:f>
              <c:strCache>
                <c:ptCount val="6"/>
                <c:pt idx="0">
                  <c:v>SERA</c:v>
                </c:pt>
                <c:pt idx="1">
                  <c:v>Seko</c:v>
                </c:pt>
                <c:pt idx="2">
                  <c:v>Blue-White Industries</c:v>
                </c:pt>
                <c:pt idx="3">
                  <c:v>Burkert</c:v>
                </c:pt>
                <c:pt idx="4">
                  <c:v>ProMinent</c:v>
                </c:pt>
                <c:pt idx="5">
                  <c:v>Grundfos</c:v>
                </c:pt>
              </c:strCache>
            </c:strRef>
          </c:cat>
          <c:val>
            <c:numRef>
              <c:f>企业排序!$G$2:$G$7</c:f>
              <c:numCache>
                <c:formatCode>#,##0.00_ </c:formatCode>
                <c:ptCount val="6"/>
                <c:pt idx="0">
                  <c:v>6.28</c:v>
                </c:pt>
                <c:pt idx="1">
                  <c:v>12.32</c:v>
                </c:pt>
                <c:pt idx="2">
                  <c:v>16.35</c:v>
                </c:pt>
                <c:pt idx="3">
                  <c:v>22.36</c:v>
                </c:pt>
                <c:pt idx="4">
                  <c:v>53.26</c:v>
                </c:pt>
                <c:pt idx="5">
                  <c:v>101.24</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200">
                <a:latin typeface="Book Antiqua" panose="02040602050305030304" pitchFamily="1" charset="0"/>
              </a:rPr>
              <a:t>全球主要市场数字计量泵规模</a:t>
            </a:r>
            <a:r>
              <a:rPr lang="en-US" altLang="zh-CN" sz="1200">
                <a:latin typeface="Book Antiqua" panose="02040602050305030304" pitchFamily="1" charset="0"/>
              </a:rPr>
              <a:t>,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'地区-消费'!$AF$1</c:f>
              <c:strCache>
                <c:ptCount val="1"/>
                <c:pt idx="0">
                  <c:v>2022</c:v>
                </c:pt>
              </c:strCache>
            </c:strRef>
          </c:tx>
          <c:spPr>
            <a:solidFill>
              <a:srgbClr val="FFC000"/>
            </a:solidFill>
            <a:ln>
              <a:noFill/>
            </a:ln>
            <a:effectLst/>
          </c:spPr>
          <c:invertIfNegative val="0"/>
          <c:dLbls>
            <c:delete val="1"/>
          </c:dLbls>
          <c:cat>
            <c:strRef>
              <c:f>'地区-消费'!$AD$2:$AD$10</c:f>
              <c:strCache>
                <c:ptCount val="5"/>
                <c:pt idx="0">
                  <c:v>北美</c:v>
                </c:pt>
                <c:pt idx="1">
                  <c:v>欧洲</c:v>
                </c:pt>
                <c:pt idx="2">
                  <c:v>亚太</c:v>
                </c:pt>
                <c:pt idx="3">
                  <c:v>拉美</c:v>
                </c:pt>
                <c:pt idx="4">
                  <c:v>中东和非洲</c:v>
                </c:pt>
              </c:strCache>
            </c:strRef>
          </c:cat>
          <c:val>
            <c:numRef>
              <c:f>'地区-消费'!$AF$2:$AF$10</c:f>
              <c:numCache>
                <c:formatCode>#,##0_);[Red]\(#,##0\)</c:formatCode>
                <c:ptCount val="5"/>
                <c:pt idx="0">
                  <c:v>69.92</c:v>
                </c:pt>
                <c:pt idx="1">
                  <c:v>98.23</c:v>
                </c:pt>
                <c:pt idx="2">
                  <c:v>90.26</c:v>
                </c:pt>
                <c:pt idx="3">
                  <c:v>11.16</c:v>
                </c:pt>
                <c:pt idx="4">
                  <c:v>8.31999999999999</c:v>
                </c:pt>
              </c:numCache>
            </c:numRef>
          </c:val>
        </c:ser>
        <c:ser>
          <c:idx val="1"/>
          <c:order val="1"/>
          <c:tx>
            <c:strRef>
              <c:f>'地区-消费'!$AG$1</c:f>
              <c:strCache>
                <c:ptCount val="1"/>
                <c:pt idx="0">
                  <c:v>2029</c:v>
                </c:pt>
              </c:strCache>
            </c:strRef>
          </c:tx>
          <c:spPr>
            <a:solidFill>
              <a:schemeClr val="bg1">
                <a:lumMod val="50000"/>
              </a:schemeClr>
            </a:solidFill>
            <a:ln>
              <a:noFill/>
            </a:ln>
            <a:effectLst/>
          </c:spPr>
          <c:invertIfNegative val="0"/>
          <c:dLbls>
            <c:delete val="1"/>
          </c:dLbls>
          <c:cat>
            <c:strRef>
              <c:f>'地区-消费'!$AD$2:$AD$10</c:f>
              <c:strCache>
                <c:ptCount val="5"/>
                <c:pt idx="0">
                  <c:v>北美</c:v>
                </c:pt>
                <c:pt idx="1">
                  <c:v>欧洲</c:v>
                </c:pt>
                <c:pt idx="2">
                  <c:v>亚太</c:v>
                </c:pt>
                <c:pt idx="3">
                  <c:v>拉美</c:v>
                </c:pt>
                <c:pt idx="4">
                  <c:v>中东和非洲</c:v>
                </c:pt>
              </c:strCache>
            </c:strRef>
          </c:cat>
          <c:val>
            <c:numRef>
              <c:f>'地区-消费'!$AG$2:$AG$10</c:f>
              <c:numCache>
                <c:formatCode>#,##0_);[Red]\(#,##0\)</c:formatCode>
                <c:ptCount val="5"/>
                <c:pt idx="0">
                  <c:v>92.6</c:v>
                </c:pt>
                <c:pt idx="1">
                  <c:v>143.1</c:v>
                </c:pt>
                <c:pt idx="2">
                  <c:v>150.4</c:v>
                </c:pt>
                <c:pt idx="3">
                  <c:v>18.2</c:v>
                </c:pt>
                <c:pt idx="4">
                  <c:v>14.05</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0.3424</cdr:x>
      <cdr:y>0.19487</cdr:y>
    </cdr:from>
    <cdr:to>
      <cdr:x>0.64472</cdr:x>
      <cdr:y>0.49438</cdr:y>
    </cdr:to>
    <cdr:grpSp>
      <cdr:nvGrpSpPr>
        <cdr:cNvPr id="2" name="组合 1"/>
        <cdr:cNvGrpSpPr/>
      </cdr:nvGrpSpPr>
      <cdr:grpSpPr xmlns:a="http://schemas.openxmlformats.org/drawingml/2006/main">
        <a:xfrm rot="439955">
          <a:off x="2119014" y="569463"/>
          <a:ext cx="1870971" cy="875249"/>
          <a:chOff x="2472076" y="803781"/>
          <a:chExt cx="1347825" cy="936531"/>
        </a:xfrm>
      </cdr:grpSpPr>
      <cdr:cxnSp>
        <cdr:nvCxnSpPr>
          <cdr:cNvPr id="3" name="直接箭头连接符 2"/>
          <cdr:cNvCxnSpPr/>
        </cdr:nvCxnSpPr>
        <cdr:spPr xmlns:a="http://schemas.openxmlformats.org/drawingml/2006/main">
          <a:xfrm xmlns:a="http://schemas.openxmlformats.org/drawingml/2006/main" rot="21160045" flipV="1">
            <a:off x="2472076" y="803781"/>
            <a:ext cx="1347825" cy="936531"/>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20012677">
            <a:off x="2758732" y="1132418"/>
            <a:ext cx="491455" cy="376547"/>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latin typeface="Book Antiqua" panose="02040602050305030304" pitchFamily="1" charset="0"/>
                <a:ea typeface="宋体" panose="02010600030101010101" charset="-122"/>
              </a:rPr>
              <a:t>6.1%</a:t>
            </a:r>
            <a:endParaRPr lang="zh-CN" baseline="0">
              <a:latin typeface="Book Antiqua" panose="02040602050305030304" pitchFamily="1" charset="0"/>
              <a:ea typeface="宋体" panose="02010600030101010101" charset="-122"/>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7B3FC8-0C3E-4C97-BE13-B73B11DD946C}">
  <ds:schemaRefs/>
</ds:datastoreItem>
</file>

<file path=docProps/app.xml><?xml version="1.0" encoding="utf-8"?>
<Properties xmlns="http://schemas.openxmlformats.org/officeDocument/2006/extended-properties" xmlns:vt="http://schemas.openxmlformats.org/officeDocument/2006/docPropsVTypes">
  <Template>Normal</Template>
  <Pages>8</Pages>
  <Words>300</Words>
  <Characters>1712</Characters>
  <Lines>14</Lines>
  <Paragraphs>4</Paragraphs>
  <TotalTime>0</TotalTime>
  <ScaleCrop>false</ScaleCrop>
  <LinksUpToDate>false</LinksUpToDate>
  <CharactersWithSpaces>2008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2024-01-12T05:46:38Z</dcterms:modified>
  <cp:revision>797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ECB3A44973E24E41A9D757FF38518A90_12</vt:lpwstr>
  </property>
</Properties>
</file>