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5.0 -->
  <w:body>
    <w:p>
      <w:pPr>
        <w:spacing w:before="0" w:after="0" w:line="489" w:lineRule="exact"/>
        <w:ind w:left="7221" w:right="0" w:firstLine="0"/>
        <w:jc w:val="left"/>
        <w:rPr>
          <w:rFonts w:ascii="DDEMKR+SegoeUI" w:hAnsi="Calibri"/>
          <w:color w:val="000000"/>
          <w:sz w:val="36"/>
          <w:szCs w:val="22"/>
          <w:lang w:val="en-US" w:eastAsia="en-US" w:bidi="ar-SA"/>
        </w:rPr>
      </w:pPr>
      <w:bookmarkStart w:id="0" w:name="br1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52.25pt;height:703.05pt;margin-top:28.35pt;margin-left:29.85pt;mso-position-horizontal-relative:page;mso-position-vertical-relative:page;position:absolute;z-index:-251655168">
            <v:imagedata r:id="rId4" o:title=""/>
          </v:shape>
        </w:pict>
      </w:r>
      <w:bookmarkStart w:id="1" w:name="br1_0"/>
      <w:bookmarkEnd w:id="1"/>
      <w:r>
        <w:rPr>
          <w:noProof/>
        </w:rPr>
        <w:pict>
          <v:shape id="_x0000_s1026" type="#_x0000_t75" style="width:553pt;height:3pt;margin-top:751pt;margin-left:29.5pt;mso-position-horizontal-relative:page;mso-position-vertical-relative:page;position:absolute;z-index:-251658240">
            <v:imagedata r:id="rId5" o:title=""/>
          </v:shape>
        </w:pict>
      </w:r>
      <w:r>
        <w:rPr>
          <w:rFonts w:ascii="INDQJI+SegoeUI-SemiBold" w:hAnsi="Calibri" w:eastAsiaTheme="minorEastAsia" w:cstheme="minorBidi"/>
          <w:b/>
          <w:color w:val="3E3A39"/>
          <w:sz w:val="36"/>
          <w:szCs w:val="22"/>
          <w:lang w:val="en-US" w:eastAsia="en-US" w:bidi="ar-SA"/>
        </w:rPr>
        <w:t>Product</w:t>
      </w:r>
      <w:r>
        <w:rPr>
          <w:rFonts w:ascii="INDQJI+SegoeUI-SemiBold" w:hAnsi="Calibri" w:eastAsiaTheme="minorEastAsia" w:cstheme="minorBidi"/>
          <w:b/>
          <w:color w:val="3E3A39"/>
          <w:spacing w:val="-1"/>
          <w:sz w:val="36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36"/>
          <w:szCs w:val="22"/>
          <w:lang w:val="en-US" w:eastAsia="en-US" w:bidi="ar-SA"/>
        </w:rPr>
        <w:t>Data</w:t>
      </w:r>
      <w:r>
        <w:rPr>
          <w:rFonts w:ascii="DDEMKR+SegoeUI" w:hAnsi="Calibri" w:eastAsiaTheme="minorEastAsia" w:cstheme="minorBidi"/>
          <w:color w:val="3E3A39"/>
          <w:sz w:val="36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36"/>
          <w:szCs w:val="22"/>
          <w:lang w:val="en-US" w:eastAsia="en-US" w:bidi="ar-SA"/>
        </w:rPr>
        <w:t>Sheet</w:t>
      </w:r>
    </w:p>
    <w:p>
      <w:pPr>
        <w:spacing w:before="453" w:after="0" w:line="382" w:lineRule="exact"/>
        <w:ind w:left="0" w:right="0" w:firstLine="0"/>
        <w:jc w:val="left"/>
        <w:rPr>
          <w:rFonts w:ascii="INDQJI+SegoeUI-SemiBold" w:hAnsi="Calibri"/>
          <w:b/>
          <w:color w:val="000000"/>
          <w:sz w:val="28"/>
          <w:szCs w:val="22"/>
          <w:lang w:val="en-US" w:eastAsia="en-US" w:bidi="ar-SA"/>
        </w:rPr>
      </w:pPr>
      <w:r>
        <w:rPr>
          <w:rFonts w:ascii="INDQJI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Tenofovir</w:t>
      </w:r>
      <w:r>
        <w:rPr>
          <w:rFonts w:ascii="INDQJI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 xml:space="preserve"> </w:t>
      </w:r>
      <w:r>
        <w:rPr>
          <w:rFonts w:ascii="INDQJI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Disoproxil</w:t>
      </w:r>
    </w:p>
    <w:p>
      <w:pPr>
        <w:spacing w:before="309" w:after="0" w:line="236" w:lineRule="exact"/>
        <w:ind w:left="0" w:right="0" w:firstLine="0"/>
        <w:jc w:val="left"/>
        <w:rPr>
          <w:rFonts w:ascii="DDEMK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Cat.</w:t>
      </w: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INDQJI+SegoeUI-SemiBold" w:hAnsi="Calibri" w:eastAsiaTheme="minorEastAsia" w:cstheme="minorBidi"/>
          <w:b/>
          <w:color w:val="3E3A39"/>
          <w:spacing w:val="1077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HY-13782A</w:t>
      </w:r>
    </w:p>
    <w:p>
      <w:pPr>
        <w:spacing w:before="109" w:after="0" w:line="236" w:lineRule="exact"/>
        <w:ind w:left="0" w:right="0" w:firstLine="0"/>
        <w:jc w:val="left"/>
        <w:rPr>
          <w:rFonts w:ascii="DDEMK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CAS</w:t>
      </w: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INDQJI+SegoeUI-SemiBold" w:hAnsi="Calibri" w:eastAsiaTheme="minorEastAsia" w:cstheme="minorBidi"/>
          <w:b/>
          <w:color w:val="3E3A39"/>
          <w:spacing w:val="1061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201341-05-1</w:t>
      </w:r>
    </w:p>
    <w:p>
      <w:pPr>
        <w:spacing w:before="107" w:after="0" w:line="238" w:lineRule="exact"/>
        <w:ind w:left="0" w:right="0" w:firstLine="0"/>
        <w:jc w:val="left"/>
        <w:rPr>
          <w:rFonts w:ascii="DDEMK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QQIHJK+AdobeHeitiStd-Regular-Identity-H" w:hAnsi="QQIHJK+AdobeHeitiStd-Regular-Identity-H" w:eastAsiaTheme="minorEastAsia" w:cs="QQIHJK+AdobeHeitiStd-Regular-Identity-H"/>
          <w:color w:val="3E3A39"/>
          <w:sz w:val="17"/>
          <w:szCs w:val="22"/>
          <w:lang w:val="en-US" w:eastAsia="en-US" w:bidi="ar-SA"/>
        </w:rPr>
        <w:t>分⼦式:</w:t>
      </w:r>
      <w:r>
        <w:rPr>
          <w:rFonts w:ascii="QQIHJK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DDEMKR+SegoeUI" w:eastAsiaTheme="minorEastAsia" w:cs="DDEMKR+SegoeUI"/>
          <w:color w:val="3E3A39"/>
          <w:sz w:val="17"/>
          <w:szCs w:val="22"/>
          <w:lang w:val="en-US" w:eastAsia="en-US" w:bidi="ar-SA"/>
        </w:rPr>
        <w:t>C₁₉H₃₀N₅O₁₀P</w:t>
      </w:r>
    </w:p>
    <w:p>
      <w:pPr>
        <w:spacing w:before="105" w:after="0" w:line="238" w:lineRule="exact"/>
        <w:ind w:left="0" w:right="0" w:firstLine="0"/>
        <w:jc w:val="left"/>
        <w:rPr>
          <w:rFonts w:ascii="DDEMK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QQIHJK+AdobeHeitiStd-Regular-Identity-H" w:hAnsi="QQIHJK+AdobeHeitiStd-Regular-Identity-H" w:eastAsiaTheme="minorEastAsia" w:cs="QQIHJK+AdobeHeitiStd-Regular-Identity-H"/>
          <w:color w:val="3E3A39"/>
          <w:sz w:val="17"/>
          <w:szCs w:val="22"/>
          <w:lang w:val="en-US" w:eastAsia="en-US" w:bidi="ar-SA"/>
        </w:rPr>
        <w:t>分⼦量:</w:t>
      </w:r>
      <w:r>
        <w:rPr>
          <w:rFonts w:ascii="QQIHJK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519.44</w:t>
      </w:r>
    </w:p>
    <w:p>
      <w:pPr>
        <w:spacing w:before="105" w:after="0" w:line="238" w:lineRule="exact"/>
        <w:ind w:left="0" w:right="0" w:firstLine="0"/>
        <w:jc w:val="left"/>
        <w:rPr>
          <w:rFonts w:ascii="DDEMK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QQIHJK+AdobeHeitiStd-Regular-Identity-H" w:hAnsi="QQIHJK+AdobeHeitiStd-Regular-Identity-H" w:eastAsiaTheme="minorEastAsia" w:cs="QQIHJK+AdobeHeitiStd-Regular-Identity-H"/>
          <w:color w:val="3E3A39"/>
          <w:sz w:val="17"/>
          <w:szCs w:val="22"/>
          <w:lang w:val="en-US" w:eastAsia="en-US" w:bidi="ar-SA"/>
        </w:rPr>
        <w:t>作⽤靶点:</w:t>
      </w:r>
      <w:r>
        <w:rPr>
          <w:rFonts w:ascii="QQIHJK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HIV;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Reverse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Transcriptase;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HBV</w:t>
      </w:r>
    </w:p>
    <w:p>
      <w:pPr>
        <w:spacing w:before="107" w:after="0" w:line="236" w:lineRule="exact"/>
        <w:ind w:left="0" w:right="0" w:firstLine="0"/>
        <w:jc w:val="left"/>
        <w:rPr>
          <w:rFonts w:ascii="DDEMK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QQIHJK+AdobeHeitiStd-Regular-Identity-H" w:hAnsi="QQIHJK+AdobeHeitiStd-Regular-Identity-H" w:eastAsiaTheme="minorEastAsia" w:cs="QQIHJK+AdobeHeitiStd-Regular-Identity-H"/>
          <w:color w:val="3E3A39"/>
          <w:sz w:val="17"/>
          <w:szCs w:val="22"/>
          <w:lang w:val="en-US" w:eastAsia="en-US" w:bidi="ar-SA"/>
        </w:rPr>
        <w:t>作⽤通路:</w:t>
      </w:r>
      <w:r>
        <w:rPr>
          <w:rFonts w:ascii="QQIHJK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Anti-infection</w:t>
      </w:r>
    </w:p>
    <w:p>
      <w:pPr>
        <w:spacing w:before="109" w:after="0" w:line="236" w:lineRule="exact"/>
        <w:ind w:left="0" w:right="0" w:firstLine="0"/>
        <w:jc w:val="left"/>
        <w:rPr>
          <w:rFonts w:ascii="DDEMK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QQIHJK+AdobeHeitiStd-Regular-Identity-H" w:hAnsi="QQIHJK+AdobeHeitiStd-Regular-Identity-H" w:eastAsiaTheme="minorEastAsia" w:cs="QQIHJK+AdobeHeitiStd-Regular-Identity-H"/>
          <w:color w:val="3E3A39"/>
          <w:sz w:val="17"/>
          <w:szCs w:val="22"/>
          <w:lang w:val="en-US" w:eastAsia="en-US" w:bidi="ar-SA"/>
        </w:rPr>
        <w:t>储存⽅式:</w:t>
      </w:r>
      <w:r>
        <w:rPr>
          <w:rFonts w:ascii="QQIHJK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Powder</w:t>
      </w:r>
      <w:r>
        <w:rPr>
          <w:rFonts w:ascii="DDEMKR+SegoeUI" w:hAnsi="Calibri" w:eastAsiaTheme="minorEastAsia" w:cstheme="minorBidi"/>
          <w:color w:val="3E3A39"/>
          <w:spacing w:val="503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DDEMKR+SegoeUI" w:eastAsiaTheme="minorEastAsia" w:cs="DDEMKR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DDEMKR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3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3070" w:right="0" w:firstLine="0"/>
        <w:jc w:val="left"/>
        <w:rPr>
          <w:rFonts w:ascii="DDEMK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DDEMKR+SegoeUI" w:hAnsi="DDEMKR+SegoeUI" w:eastAsiaTheme="minorEastAsia" w:cs="DDEMKR+SegoeUI"/>
          <w:color w:val="3E3A39"/>
          <w:sz w:val="17"/>
          <w:szCs w:val="22"/>
          <w:lang w:val="en-US" w:eastAsia="en-US" w:bidi="ar-SA"/>
        </w:rPr>
        <w:t>4°C</w:t>
      </w:r>
      <w:r>
        <w:rPr>
          <w:rFonts w:ascii="DDEMKR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1796" w:right="0" w:firstLine="0"/>
        <w:jc w:val="left"/>
        <w:rPr>
          <w:rFonts w:ascii="DDEMK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solvent</w:t>
      </w:r>
      <w:r>
        <w:rPr>
          <w:rFonts w:ascii="DDEMKR+SegoeUI" w:hAnsi="Calibri" w:eastAsiaTheme="minorEastAsia" w:cstheme="minorBidi"/>
          <w:color w:val="3E3A39"/>
          <w:spacing w:val="344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DDEMKR+SegoeUI" w:eastAsiaTheme="minorEastAsia" w:cs="DDEMKR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DDEMKR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</w:t>
      </w:r>
    </w:p>
    <w:p>
      <w:pPr>
        <w:spacing w:before="35" w:after="0" w:line="236" w:lineRule="exact"/>
        <w:ind w:left="2911" w:right="0" w:firstLine="0"/>
        <w:jc w:val="left"/>
        <w:rPr>
          <w:rFonts w:ascii="DDEMK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DDEMKR+SegoeUI" w:hAnsi="DDEMKR+SegoeUI" w:eastAsiaTheme="minorEastAsia" w:cs="DDEMKR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DDEMKR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</w:p>
    <w:p>
      <w:pPr>
        <w:spacing w:before="696" w:after="0" w:line="248" w:lineRule="exact"/>
        <w:ind w:left="216" w:right="0" w:firstLine="0"/>
        <w:jc w:val="left"/>
        <w:rPr>
          <w:rFonts w:ascii="QQIHJK+AdobeHeitiStd-Regular-Identity-H" w:hAnsi="Calibri"/>
          <w:color w:val="000000"/>
          <w:sz w:val="19"/>
          <w:szCs w:val="22"/>
          <w:lang w:val="en-US" w:eastAsia="en-US" w:bidi="ar-SA"/>
        </w:rPr>
      </w:pPr>
      <w:r>
        <w:rPr>
          <w:rFonts w:ascii="QQIHJK+AdobeHeitiStd-Regular-Identity-H" w:hAnsi="QQIHJK+AdobeHeitiStd-Regular-Identity-H" w:eastAsiaTheme="minorEastAsia" w:cs="QQIHJK+AdobeHeitiStd-Regular-Identity-H"/>
          <w:color w:val="FFFFFF"/>
          <w:sz w:val="19"/>
          <w:szCs w:val="22"/>
          <w:lang w:val="en-US" w:eastAsia="en-US" w:bidi="ar-SA"/>
        </w:rPr>
        <w:t>溶解性数据</w:t>
      </w:r>
    </w:p>
    <w:p>
      <w:pPr>
        <w:spacing w:before="265" w:after="0" w:line="237" w:lineRule="exact"/>
        <w:ind w:left="250" w:right="0" w:firstLine="0"/>
        <w:jc w:val="left"/>
        <w:rPr>
          <w:rFonts w:ascii="DDEMK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QQIHJK+AdobeHeitiStd-Regular-Identity-H" w:hAnsi="QQIHJK+AdobeHeitiStd-Regular-Identity-H" w:eastAsiaTheme="minorEastAsia" w:cs="QQIHJK+AdobeHeitiStd-Regular-Identity-H"/>
          <w:color w:val="3E3A39"/>
          <w:sz w:val="17"/>
          <w:szCs w:val="22"/>
          <w:lang w:val="en-US" w:eastAsia="en-US" w:bidi="ar-SA"/>
        </w:rPr>
        <w:t>体外实验</w:t>
      </w:r>
      <w:r>
        <w:rPr>
          <w:rFonts w:ascii="QQIHJK+AdobeHeitiStd-Regular-Identity-H" w:hAnsi="Calibri" w:eastAsiaTheme="minorEastAsia" w:cstheme="minorBidi"/>
          <w:color w:val="3E3A39"/>
          <w:spacing w:val="1029"/>
          <w:sz w:val="17"/>
          <w:szCs w:val="22"/>
          <w:lang w:val="en-US" w:eastAsia="en-US" w:bidi="ar-SA"/>
        </w:rPr>
        <w:t xml:space="preserve"> </w:t>
      </w: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:</w:t>
      </w: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DQJI+SegoeUI-SemiBold" w:hAnsi="INDQJI+SegoeUI-SemiBold" w:eastAsiaTheme="minorEastAsia" w:cs="INDQJI+SegoeUI-SemiBold"/>
          <w:b/>
          <w:color w:val="3E3A39"/>
          <w:sz w:val="17"/>
          <w:szCs w:val="22"/>
          <w:lang w:val="en-US" w:eastAsia="en-US" w:bidi="ar-SA"/>
        </w:rPr>
        <w:t>≥</w:t>
      </w: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38</w:t>
      </w: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mg/mL</w:t>
      </w: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</w:t>
      </w: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73.16</w:t>
      </w: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</w:p>
    <w:p>
      <w:pPr>
        <w:spacing w:before="35" w:after="256" w:line="236" w:lineRule="exact"/>
        <w:ind w:left="1997" w:right="0" w:firstLine="0"/>
        <w:jc w:val="left"/>
        <w:rPr>
          <w:rFonts w:ascii="DDEMK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DDEMKR+SegoeUI" w:hAnsi="Calibri" w:eastAsiaTheme="minorEastAsia" w:cstheme="minorBidi"/>
          <w:color w:val="808285"/>
          <w:sz w:val="17"/>
          <w:szCs w:val="22"/>
          <w:lang w:val="en-US" w:eastAsia="en-US" w:bidi="ar-SA"/>
        </w:rPr>
        <w:t>*</w:t>
      </w:r>
      <w:r>
        <w:rPr>
          <w:rFonts w:ascii="DDEMKR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DDEMKR+SegoeUI" w:eastAsiaTheme="minorEastAsia" w:cs="DDEMKR+SegoeUI"/>
          <w:color w:val="808285"/>
          <w:sz w:val="17"/>
          <w:szCs w:val="22"/>
          <w:lang w:val="en-US" w:eastAsia="en-US" w:bidi="ar-SA"/>
        </w:rPr>
        <w:t>"≥"</w:t>
      </w:r>
      <w:r>
        <w:rPr>
          <w:rFonts w:ascii="DDEMKR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means</w:t>
      </w:r>
      <w:r>
        <w:rPr>
          <w:rFonts w:ascii="DDEMKR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808285"/>
          <w:sz w:val="17"/>
          <w:szCs w:val="22"/>
          <w:lang w:val="en-US" w:eastAsia="en-US" w:bidi="ar-SA"/>
        </w:rPr>
        <w:t>soluble,</w:t>
      </w:r>
      <w:r>
        <w:rPr>
          <w:rFonts w:ascii="DDEMKR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808285"/>
          <w:sz w:val="17"/>
          <w:szCs w:val="22"/>
          <w:lang w:val="en-US" w:eastAsia="en-US" w:bidi="ar-SA"/>
        </w:rPr>
        <w:t>but</w:t>
      </w:r>
      <w:r>
        <w:rPr>
          <w:rFonts w:ascii="DDEMKR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808285"/>
          <w:sz w:val="17"/>
          <w:szCs w:val="22"/>
          <w:lang w:val="en-US" w:eastAsia="en-US" w:bidi="ar-SA"/>
        </w:rPr>
        <w:t>saturation</w:t>
      </w:r>
      <w:r>
        <w:rPr>
          <w:rFonts w:ascii="DDEMKR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808285"/>
          <w:sz w:val="17"/>
          <w:szCs w:val="22"/>
          <w:lang w:val="en-US" w:eastAsia="en-US" w:bidi="ar-SA"/>
        </w:rPr>
        <w:t>unknown.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4464"/>
        <w:gridCol w:w="728"/>
        <w:gridCol w:w="20"/>
        <w:gridCol w:w="1160"/>
        <w:gridCol w:w="20"/>
        <w:gridCol w:w="4055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434"/>
          <w:jc w:val="left"/>
        </w:trPr>
        <w:tc>
          <w:tcPr>
            <w:tcW w:w="4464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DEMKR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728" w:type="dxa"/>
            <w:noWrap w:val="0"/>
            <w:textDirection w:val="lrTb"/>
            <w:tcFitText w:val="0"/>
            <w:vAlign w:val="top"/>
          </w:tcPr>
          <w:p>
            <w:pPr>
              <w:spacing w:before="142" w:after="0" w:line="226" w:lineRule="exact"/>
              <w:ind w:left="0" w:right="0" w:firstLine="0"/>
              <w:jc w:val="left"/>
              <w:rPr>
                <w:rFonts w:ascii="INDQJI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INDQJ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Solvent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NDQJI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16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INDQJI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INDQJ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Mass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NDQJI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4055" w:type="dxa"/>
            <w:noWrap w:val="0"/>
            <w:textDirection w:val="lrTb"/>
            <w:tcFitText w:val="0"/>
            <w:vAlign w:val="top"/>
          </w:tcPr>
          <w:p>
            <w:pPr>
              <w:spacing w:before="208" w:after="0" w:line="226" w:lineRule="exact"/>
              <w:ind w:left="0" w:right="0" w:firstLine="0"/>
              <w:jc w:val="left"/>
              <w:rPr>
                <w:rFonts w:ascii="INDQJI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INDQJ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INDQJ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NDQJ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INDQJI+SegoeUI-SemiBold" w:hAnsi="Calibri" w:eastAsiaTheme="minorEastAsia" w:cstheme="minorBidi"/>
                <w:b/>
                <w:color w:val="3E3A39"/>
                <w:spacing w:val="131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NDQJ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5</w:t>
            </w:r>
            <w:r>
              <w:rPr>
                <w:rFonts w:ascii="INDQJ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NDQJ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INDQJI+SegoeUI-SemiBold" w:hAnsi="Calibri" w:eastAsiaTheme="minorEastAsia" w:cstheme="minorBidi"/>
                <w:b/>
                <w:color w:val="3E3A39"/>
                <w:spacing w:val="128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NDQJ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10</w:t>
            </w:r>
            <w:r>
              <w:rPr>
                <w:rFonts w:ascii="INDQJ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NDQJ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20" w:after="147" w:line="236" w:lineRule="exact"/>
        <w:ind w:left="3723" w:right="0" w:firstLine="0"/>
        <w:jc w:val="left"/>
        <w:rPr>
          <w:rFonts w:ascii="INDQJI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Concentration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997"/>
        <w:gridCol w:w="2365"/>
        <w:gridCol w:w="20"/>
        <w:gridCol w:w="6251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53"/>
          <w:jc w:val="left"/>
        </w:trPr>
        <w:tc>
          <w:tcPr>
            <w:tcW w:w="1997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NDQJI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2365" w:type="dxa"/>
            <w:noWrap w:val="0"/>
            <w:textDirection w:val="lrTb"/>
            <w:tcFitText w:val="0"/>
            <w:vAlign w:val="top"/>
          </w:tcPr>
          <w:p>
            <w:pPr>
              <w:spacing w:before="41" w:after="0" w:line="212" w:lineRule="exact"/>
              <w:ind w:left="0" w:right="0" w:firstLine="0"/>
              <w:jc w:val="left"/>
              <w:rPr>
                <w:rFonts w:ascii="QQIHJK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QQIHJK+AdobeHeitiStd-Regular-Identity-H" w:hAnsi="QQIHJK+AdobeHeitiStd-Regular-Identity-H" w:eastAsiaTheme="minorEastAsia" w:cs="QQIHJK+AdobeHeitiStd-Regular-Identity-H"/>
                <w:color w:val="3E3A39"/>
                <w:sz w:val="17"/>
                <w:szCs w:val="22"/>
                <w:lang w:val="en-US" w:eastAsia="en-US" w:bidi="ar-SA"/>
              </w:rPr>
              <w:t>制备储备液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QIHJK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6251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DDEMKR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INDQJ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INDQJ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NDQJ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mM</w:t>
            </w:r>
            <w:r>
              <w:rPr>
                <w:rFonts w:ascii="INDQJI+SegoeUI-SemiBold" w:hAnsi="Calibri" w:eastAsiaTheme="minorEastAsia" w:cstheme="minorBidi"/>
                <w:b/>
                <w:color w:val="3E3A39"/>
                <w:spacing w:val="132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DEMK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1.9252</w:t>
            </w:r>
            <w:r>
              <w:rPr>
                <w:rFonts w:ascii="DDEMK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DEMK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DDEMKR+SegoeUI" w:hAnsi="Calibri" w:eastAsiaTheme="minorEastAsia" w:cstheme="minorBidi"/>
                <w:color w:val="3E3A39"/>
                <w:spacing w:val="94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DEMK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9.6258</w:t>
            </w:r>
            <w:r>
              <w:rPr>
                <w:rFonts w:ascii="DDEMK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DEMK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DDEMKR+SegoeUI" w:hAnsi="Calibri" w:eastAsiaTheme="minorEastAsia" w:cstheme="minorBidi"/>
                <w:color w:val="3E3A39"/>
                <w:spacing w:val="91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DEMK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19.2515</w:t>
            </w:r>
            <w:r>
              <w:rPr>
                <w:rFonts w:ascii="DDEMK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DEMK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</w:p>
        </w:tc>
      </w:tr>
    </w:tbl>
    <w:p>
      <w:pPr>
        <w:spacing w:before="209" w:after="0" w:line="236" w:lineRule="exact"/>
        <w:ind w:left="4381" w:right="0" w:firstLine="0"/>
        <w:jc w:val="left"/>
        <w:rPr>
          <w:rFonts w:ascii="DDEMK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</w:t>
      </w: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INDQJI+SegoeUI-SemiBold" w:hAnsi="Calibri" w:eastAsiaTheme="minorEastAsia" w:cstheme="minorBidi"/>
          <w:b/>
          <w:color w:val="3E3A39"/>
          <w:spacing w:val="1328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0.3850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DDEMKR+SegoeUI" w:hAnsi="Calibri" w:eastAsiaTheme="minorEastAsia" w:cstheme="minorBidi"/>
          <w:color w:val="3E3A39"/>
          <w:spacing w:val="945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1.9252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DDEMKR+SegoeUI" w:hAnsi="Calibri" w:eastAsiaTheme="minorEastAsia" w:cstheme="minorBidi"/>
          <w:color w:val="3E3A39"/>
          <w:spacing w:val="960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3.8503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26" w:after="0" w:line="236" w:lineRule="exact"/>
        <w:ind w:left="4334" w:right="0" w:firstLine="0"/>
        <w:jc w:val="left"/>
        <w:rPr>
          <w:rFonts w:ascii="DDEMK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</w:t>
      </w: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INDQJI+SegoeUI-SemiBold" w:hAnsi="Calibri" w:eastAsiaTheme="minorEastAsia" w:cstheme="minorBidi"/>
          <w:b/>
          <w:color w:val="3E3A39"/>
          <w:spacing w:val="1281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0.1925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DDEMKR+SegoeUI" w:hAnsi="Calibri" w:eastAsiaTheme="minorEastAsia" w:cstheme="minorBidi"/>
          <w:color w:val="3E3A39"/>
          <w:spacing w:val="945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0.9626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DDEMKR+SegoeUI" w:hAnsi="Calibri" w:eastAsiaTheme="minorEastAsia" w:cstheme="minorBidi"/>
          <w:color w:val="3E3A39"/>
          <w:spacing w:val="960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1.9252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57" w:after="0" w:line="222" w:lineRule="exact"/>
        <w:ind w:left="1997" w:right="0" w:firstLine="0"/>
        <w:jc w:val="left"/>
        <w:rPr>
          <w:rFonts w:ascii="QQIHJK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QQIHJK+AdobeHeitiStd-Regular-Identity-H" w:hAnsi="QQIHJK+AdobeHeitiStd-Regular-Identity-H" w:eastAsiaTheme="minorEastAsia" w:cs="QQIHJK+AdobeHeitiStd-Regular-Identity-H"/>
          <w:color w:val="3E3A39"/>
          <w:sz w:val="17"/>
          <w:szCs w:val="22"/>
          <w:lang w:val="en-US" w:eastAsia="en-US" w:bidi="ar-SA"/>
        </w:rPr>
        <w:t>请根据产品在不同溶剂中的溶解度选择合适的溶剂配制储备液；⼀旦配成溶液，请分装保存，避免反复冻融造成的产品失</w:t>
      </w:r>
    </w:p>
    <w:p>
      <w:pPr>
        <w:spacing w:before="29" w:after="0" w:line="242" w:lineRule="exact"/>
        <w:ind w:left="1997" w:right="0" w:firstLine="0"/>
        <w:jc w:val="left"/>
        <w:rPr>
          <w:rFonts w:ascii="QQIHJK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QQIHJK+AdobeHeitiStd-Regular-Identity-H" w:hAnsi="QQIHJK+AdobeHeitiStd-Regular-Identity-H" w:eastAsiaTheme="minorEastAsia" w:cs="QQIHJK+AdobeHeitiStd-Regular-Identity-H"/>
          <w:color w:val="3E3A39"/>
          <w:sz w:val="17"/>
          <w:szCs w:val="22"/>
          <w:lang w:val="en-US" w:eastAsia="en-US" w:bidi="ar-SA"/>
        </w:rPr>
        <w:t>效。储备液的保存⽅式和期限：</w:t>
      </w:r>
      <w:r>
        <w:rPr>
          <w:rFonts w:ascii="DDEMKR+SegoeUI" w:hAnsi="DDEMKR+SegoeUI" w:eastAsiaTheme="minorEastAsia" w:cs="DDEMKR+SegoeUI"/>
          <w:color w:val="3E3A39"/>
          <w:sz w:val="17"/>
          <w:szCs w:val="22"/>
          <w:lang w:val="en-US" w:eastAsia="en-US" w:bidi="ar-SA"/>
        </w:rPr>
        <w:t>-80°C,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months;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DDEMKR+SegoeUI" w:eastAsiaTheme="minorEastAsia" w:cs="DDEMKR+SegoeUI"/>
          <w:color w:val="3E3A39"/>
          <w:sz w:val="17"/>
          <w:szCs w:val="22"/>
          <w:lang w:val="en-US" w:eastAsia="en-US" w:bidi="ar-SA"/>
        </w:rPr>
        <w:t>-20°C,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  <w:r>
        <w:rPr>
          <w:rFonts w:ascii="QQIHJK+AdobeHeitiStd-Regular-Identity-H" w:hAnsi="QQIHJK+AdobeHeitiStd-Regular-Identity-H" w:eastAsiaTheme="minorEastAsia" w:cs="QQIHJK+AdobeHeitiStd-Regular-Identity-H"/>
          <w:color w:val="3E3A39"/>
          <w:sz w:val="17"/>
          <w:szCs w:val="22"/>
          <w:lang w:val="en-US" w:eastAsia="en-US" w:bidi="ar-SA"/>
        </w:rPr>
        <w:t>。</w:t>
      </w:r>
      <w:r>
        <w:rPr>
          <w:rFonts w:ascii="DDEMKR+SegoeUI" w:hAnsi="DDEMKR+SegoeUI" w:eastAsiaTheme="minorEastAsia" w:cs="DDEMKR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DDEMKR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QQIHJK+AdobeHeitiStd-Regular-Identity-H" w:hAnsi="QQIHJK+AdobeHeitiStd-Regular-Identity-H" w:eastAsiaTheme="minorEastAsia" w:cs="QQIHJK+AdobeHeitiStd-Regular-Identity-H"/>
          <w:color w:val="3E3A39"/>
          <w:sz w:val="17"/>
          <w:szCs w:val="22"/>
          <w:lang w:val="en-US" w:eastAsia="en-US" w:bidi="ar-SA"/>
        </w:rPr>
        <w:t>储存时，请在</w:t>
      </w:r>
      <w:r>
        <w:rPr>
          <w:rFonts w:ascii="QQIHJK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DDEMKR+SegoeUI" w:hAnsi="Calibri" w:eastAsiaTheme="minorEastAsia" w:cstheme="minorBidi"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QQIHJK+AdobeHeitiStd-Regular-Identity-H" w:hAnsi="QQIHJK+AdobeHeitiStd-Regular-Identity-H" w:eastAsiaTheme="minorEastAsia" w:cs="QQIHJK+AdobeHeitiStd-Regular-Identity-H"/>
          <w:color w:val="3E3A39"/>
          <w:sz w:val="17"/>
          <w:szCs w:val="22"/>
          <w:lang w:val="en-US" w:eastAsia="en-US" w:bidi="ar-SA"/>
        </w:rPr>
        <w:t>个⽉内使⽤，</w:t>
      </w:r>
      <w:r>
        <w:rPr>
          <w:rFonts w:ascii="DDEMKR+SegoeUI" w:hAnsi="DDEMKR+SegoeUI" w:eastAsiaTheme="minorEastAsia" w:cs="DDEMKR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DDEMKR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QQIHJK+AdobeHeitiStd-Regular-Identity-H" w:hAnsi="QQIHJK+AdobeHeitiStd-Regular-Identity-H" w:eastAsiaTheme="minorEastAsia" w:cs="QQIHJK+AdobeHeitiStd-Regular-Identity-H"/>
          <w:color w:val="3E3A39"/>
          <w:sz w:val="17"/>
          <w:szCs w:val="22"/>
          <w:lang w:val="en-US" w:eastAsia="en-US" w:bidi="ar-SA"/>
        </w:rPr>
        <w:t>储存时，请</w:t>
      </w:r>
    </w:p>
    <w:p>
      <w:pPr>
        <w:spacing w:before="31" w:after="277" w:line="242" w:lineRule="exact"/>
        <w:ind w:left="1997" w:right="0" w:firstLine="0"/>
        <w:jc w:val="left"/>
        <w:rPr>
          <w:rFonts w:ascii="QQIHJK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QQIHJK+AdobeHeitiStd-Regular-Identity-H" w:hAnsi="QQIHJK+AdobeHeitiStd-Regular-Identity-H" w:eastAsiaTheme="minorEastAsia" w:cs="QQIHJK+AdobeHeitiStd-Regular-Identity-H"/>
          <w:color w:val="3E3A39"/>
          <w:sz w:val="17"/>
          <w:szCs w:val="22"/>
          <w:lang w:val="en-US" w:eastAsia="en-US" w:bidi="ar-SA"/>
        </w:rPr>
        <w:t>在</w:t>
      </w:r>
      <w:r>
        <w:rPr>
          <w:rFonts w:ascii="QQIHJK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DDEMKR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QQIHJK+AdobeHeitiStd-Regular-Identity-H" w:hAnsi="QQIHJK+AdobeHeitiStd-Regular-Identity-H" w:eastAsiaTheme="minorEastAsia" w:cs="QQIHJK+AdobeHeitiStd-Regular-Identity-H"/>
          <w:color w:val="3E3A39"/>
          <w:sz w:val="17"/>
          <w:szCs w:val="22"/>
          <w:lang w:val="en-US" w:eastAsia="en-US" w:bidi="ar-SA"/>
        </w:rPr>
        <w:t>个⽉内使⽤。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1727"/>
        <w:gridCol w:w="20"/>
        <w:gridCol w:w="12240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1278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QIHJK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727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2" w:lineRule="exact"/>
              <w:ind w:left="0" w:right="0" w:firstLine="0"/>
              <w:jc w:val="left"/>
              <w:rPr>
                <w:rFonts w:ascii="QQIHJK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QQIHJK+AdobeHeitiStd-Regular-Identity-H" w:hAnsi="QQIHJK+AdobeHeitiStd-Regular-Identity-H" w:eastAsiaTheme="minorEastAsia" w:cs="QQIHJK+AdobeHeitiStd-Regular-Identity-H"/>
                <w:color w:val="3E3A39"/>
                <w:sz w:val="17"/>
                <w:szCs w:val="22"/>
                <w:lang w:val="en-US" w:eastAsia="en-US" w:bidi="ar-SA"/>
              </w:rPr>
              <w:t>体内实验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QIHJK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2240" w:type="dxa"/>
            <w:noWrap w:val="0"/>
            <w:textDirection w:val="lrTb"/>
            <w:tcFitText w:val="0"/>
            <w:vAlign w:val="top"/>
          </w:tcPr>
          <w:p>
            <w:pPr>
              <w:spacing w:before="2" w:after="0" w:line="226" w:lineRule="exact"/>
              <w:ind w:left="0" w:right="0" w:firstLine="0"/>
              <w:jc w:val="left"/>
              <w:rPr>
                <w:rFonts w:ascii="QQIHJK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QQIHJK+AdobeHeitiStd-Regular-Identity-H" w:hAnsi="QQIHJK+AdobeHeitiStd-Regular-Identity-H" w:eastAsiaTheme="minorEastAsia" w:cs="QQIHJK+AdobeHeitiStd-Regular-Identity-H"/>
                <w:color w:val="3E3A39"/>
                <w:sz w:val="17"/>
                <w:szCs w:val="22"/>
                <w:lang w:val="en-US" w:eastAsia="en-US" w:bidi="ar-SA"/>
              </w:rPr>
              <w:t>请根据您的实验动物和给药⽅式选择适当的溶解⽅案。以下溶解⽅案都请先按照</w:t>
            </w:r>
            <w:r>
              <w:rPr>
                <w:rFonts w:ascii="QQIHJK+AdobeHeitiStd-Regular-Identity-H" w:hAnsi="Calibri" w:eastAsiaTheme="minorEastAsia" w:cstheme="minorBidi"/>
                <w:color w:val="3E3A39"/>
                <w:spacing w:val="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NDQJ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In</w:t>
            </w:r>
            <w:r>
              <w:rPr>
                <w:rFonts w:ascii="INDQJ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NDQJ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Vitro</w:t>
            </w:r>
            <w:r>
              <w:rPr>
                <w:rFonts w:ascii="INDQJ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QIHJK+AdobeHeitiStd-Regular-Identity-H" w:hAnsi="QQIHJK+AdobeHeitiStd-Regular-Identity-H" w:eastAsiaTheme="minorEastAsia" w:cs="QQIHJK+AdobeHeitiStd-Regular-Identity-H"/>
                <w:color w:val="3E3A39"/>
                <w:sz w:val="17"/>
                <w:szCs w:val="22"/>
                <w:lang w:val="en-US" w:eastAsia="en-US" w:bidi="ar-SA"/>
              </w:rPr>
              <w:t>⽅式配制澄</w:t>
            </w:r>
            <w:r>
              <w:rPr>
                <w:rFonts w:ascii="QQIHJK+AdobeHeitiStd-Regular-Identity-H" w:hAnsi="QQIHJK+AdobeHeitiStd-Regular-Identity-H" w:eastAsiaTheme="minorEastAsia" w:cs="QQIHJK+AdobeHeitiStd-Regular-Identity-H"/>
                <w:color w:val="3E3A39"/>
                <w:spacing w:val="-10969"/>
                <w:sz w:val="17"/>
                <w:szCs w:val="22"/>
                <w:lang w:val="en-US" w:eastAsia="en-US" w:bidi="ar-SA"/>
              </w:rPr>
              <w:t>清</w:t>
            </w:r>
            <w:r>
              <w:rPr>
                <w:rFonts w:ascii="QQIHJK+AdobeHeitiStd-Regular-Identity-H" w:hAnsi="QQIHJK+AdobeHeitiStd-Regular-Identity-H" w:eastAsiaTheme="minorEastAsia" w:cs="QQIHJK+AdobeHeitiStd-Regular-Identity-H"/>
                <w:color w:val="3E3A39"/>
                <w:sz w:val="17"/>
                <w:szCs w:val="22"/>
                <w:lang w:val="en-US" w:eastAsia="en-US" w:bidi="ar-SA"/>
              </w:rPr>
              <w:t>的储备液，再依</w:t>
            </w:r>
          </w:p>
          <w:p>
            <w:pPr>
              <w:spacing w:before="65" w:after="0" w:line="212" w:lineRule="exact"/>
              <w:ind w:left="0" w:right="0" w:firstLine="0"/>
              <w:jc w:val="left"/>
              <w:rPr>
                <w:rFonts w:ascii="QQIHJK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QQIHJK+AdobeHeitiStd-Regular-Identity-H" w:hAnsi="QQIHJK+AdobeHeitiStd-Regular-Identity-H" w:eastAsiaTheme="minorEastAsia" w:cs="QQIHJK+AdobeHeitiStd-Regular-Identity-H"/>
                <w:color w:val="3E3A39"/>
                <w:sz w:val="17"/>
                <w:szCs w:val="22"/>
                <w:lang w:val="en-US" w:eastAsia="en-US" w:bidi="ar-SA"/>
              </w:rPr>
              <w:t>次添加助溶剂：</w:t>
            </w:r>
          </w:p>
          <w:p>
            <w:pPr>
              <w:spacing w:before="44" w:after="0" w:line="212" w:lineRule="exact"/>
              <w:ind w:left="0" w:right="0" w:firstLine="0"/>
              <w:jc w:val="left"/>
              <w:rPr>
                <w:rFonts w:ascii="QQIHJK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QQIHJK+AdobeHeitiStd-Regular-Identity-H" w:hAnsi="QQIHJK+AdobeHeitiStd-Regular-Identity-H" w:eastAsiaTheme="minorEastAsia" w:cs="QQIHJK+AdobeHeitiStd-Regular-Identity-H"/>
                <w:color w:val="3E3A39"/>
                <w:sz w:val="17"/>
                <w:szCs w:val="22"/>
                <w:lang w:val="en-US" w:eastAsia="en-US" w:bidi="ar-SA"/>
              </w:rPr>
              <w:t>为保证实验结果的可靠性，澄</w:t>
            </w:r>
            <w:r>
              <w:rPr>
                <w:rFonts w:ascii="QQIHJK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QIHJK+AdobeHeitiStd-Regular-Identity-H" w:hAnsi="QQIHJK+AdobeHeitiStd-Regular-Identity-H" w:eastAsiaTheme="minorEastAsia" w:cs="QQIHJK+AdobeHeitiStd-Regular-Identity-H"/>
                <w:color w:val="3E3A39"/>
                <w:sz w:val="17"/>
                <w:szCs w:val="22"/>
                <w:lang w:val="en-US" w:eastAsia="en-US" w:bidi="ar-SA"/>
              </w:rPr>
              <w:t>的储备液可以根据储存条件，适当保存；体内实验的⼯作液，建议您现⽤现配，当天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QQIHJK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QQIHJK+AdobeHeitiStd-Regular-Identity-H" w:hAnsi="QQIHJK+AdobeHeitiStd-Regular-Identity-H" w:eastAsiaTheme="minorEastAsia" w:cs="QQIHJK+AdobeHeitiStd-Regular-Identity-H"/>
                <w:color w:val="3E3A39"/>
                <w:sz w:val="17"/>
                <w:szCs w:val="22"/>
                <w:lang w:val="en-US" w:eastAsia="en-US" w:bidi="ar-SA"/>
              </w:rPr>
              <w:t>使⽤；</w:t>
            </w:r>
            <w:r>
              <w:rPr>
                <w:rFonts w:ascii="QQIHJK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QIHJK+AdobeHeitiStd-Regular-Identity-H" w:hAnsi="QQIHJK+AdobeHeitiStd-Regular-Identity-H" w:eastAsiaTheme="minorEastAsia" w:cs="QQIHJK+AdobeHeitiStd-Regular-Identity-H"/>
                <w:color w:val="3E3A39"/>
                <w:sz w:val="17"/>
                <w:szCs w:val="22"/>
                <w:lang w:val="en-US" w:eastAsia="en-US" w:bidi="ar-SA"/>
              </w:rPr>
              <w:t>以下溶剂前显⽰的百分⽐</w:t>
            </w:r>
            <w:r>
              <w:rPr>
                <w:rFonts w:ascii="QQIHJK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QIHJK+AdobeHeitiStd-Regular-Identity-H" w:hAnsi="QQIHJK+AdobeHeitiStd-Regular-Identity-H" w:eastAsiaTheme="minorEastAsia" w:cs="QQIHJK+AdobeHeitiStd-Regular-Identity-H"/>
                <w:color w:val="3E3A39"/>
                <w:sz w:val="17"/>
                <w:szCs w:val="22"/>
                <w:lang w:val="en-US" w:eastAsia="en-US" w:bidi="ar-SA"/>
              </w:rPr>
              <w:t>指该溶剂在您配制终溶液中的体积占⽐；如在配制过程中出现沉淀、析出现象，可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QQIHJK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QQIHJK+AdobeHeitiStd-Regular-Identity-H" w:hAnsi="QQIHJK+AdobeHeitiStd-Regular-Identity-H" w:eastAsiaTheme="minorEastAsia" w:cs="QQIHJK+AdobeHeitiStd-Regular-Identity-H"/>
                <w:color w:val="3E3A39"/>
                <w:sz w:val="17"/>
                <w:szCs w:val="22"/>
                <w:lang w:val="en-US" w:eastAsia="en-US" w:bidi="ar-SA"/>
              </w:rPr>
              <w:t>以通过加热和/或超声的⽅式助溶</w:t>
            </w:r>
          </w:p>
        </w:tc>
      </w:tr>
    </w:tbl>
    <w:p>
      <w:pPr>
        <w:spacing w:before="135" w:after="0" w:line="242" w:lineRule="exact"/>
        <w:ind w:left="1992" w:right="0" w:firstLine="0"/>
        <w:jc w:val="left"/>
        <w:rPr>
          <w:rFonts w:ascii="INDQJI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QIHJK+AdobeHeitiStd-Regular-Identity-H" w:hAnsi="QQIHJK+AdobeHeitiStd-Regular-Identity-H" w:eastAsiaTheme="minorEastAsia" w:cs="QQIHJK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QQIHJK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INDQJI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40%</w:t>
      </w: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PEG300</w:t>
      </w:r>
      <w:r>
        <w:rPr>
          <w:rFonts w:ascii="INDQJI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5%</w:t>
      </w: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Tween-80</w:t>
      </w:r>
      <w:r>
        <w:rPr>
          <w:rFonts w:ascii="INDQJI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45%</w:t>
      </w: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</w:t>
      </w:r>
    </w:p>
    <w:p>
      <w:pPr>
        <w:spacing w:before="36" w:after="0" w:line="236" w:lineRule="exact"/>
        <w:ind w:left="2167" w:right="0" w:firstLine="0"/>
        <w:jc w:val="left"/>
        <w:rPr>
          <w:rFonts w:ascii="DDEMK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DDEMKR+SegoeUI" w:eastAsiaTheme="minorEastAsia" w:cs="DDEMKR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2.08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(4.00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7" w:right="0" w:firstLine="0"/>
        <w:jc w:val="left"/>
        <w:rPr>
          <w:rFonts w:ascii="QQIHJK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QQIHJK+AdobeHeitiStd-Regular-Identity-H" w:hAnsi="QQIHJK+AdobeHeitiStd-Regular-Identity-H" w:eastAsiaTheme="minorEastAsia" w:cs="QQIHJK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QQIHJK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DDEMKR+SegoeUI" w:hAnsi="DDEMKR+SegoeUI" w:eastAsiaTheme="minorEastAsia" w:cs="DDEMKR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DDEMK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808285"/>
          <w:sz w:val="16"/>
          <w:szCs w:val="22"/>
          <w:lang w:val="en-US" w:eastAsia="en-US" w:bidi="ar-SA"/>
        </w:rPr>
        <w:t>2.08</w:t>
      </w:r>
      <w:r>
        <w:rPr>
          <w:rFonts w:ascii="DDEMK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DDEMK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808285"/>
          <w:sz w:val="16"/>
          <w:szCs w:val="22"/>
          <w:lang w:val="en-US" w:eastAsia="en-US" w:bidi="ar-SA"/>
        </w:rPr>
        <w:t>(4.00</w:t>
      </w:r>
      <w:r>
        <w:rPr>
          <w:rFonts w:ascii="DDEMK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QQIHJK+AdobeHeitiStd-Regular-Identity-H" w:hAnsi="QQIHJK+AdobeHeitiStd-Regular-Identity-H" w:eastAsiaTheme="minorEastAsia" w:cs="QQIHJK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DDEMKR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DDEMKR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QQIHJK+AdobeHeitiStd-Regular-Identity-H" w:hAnsi="QQIHJK+AdobeHeitiStd-Regular-Identity-H" w:eastAsiaTheme="minorEastAsia" w:cs="QQIHJK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QQIHJK+AdobeHeitiStd-Regular-Identity-H" w:hAnsi="QQIHJK+AdobeHeitiStd-Regular-Identity-H" w:eastAsiaTheme="minorEastAsia" w:cs="QQIHJK+AdobeHeitiStd-Regular-Identity-H"/>
          <w:color w:val="808285"/>
          <w:spacing w:val="-10324"/>
          <w:sz w:val="16"/>
          <w:szCs w:val="22"/>
          <w:lang w:val="en-US" w:eastAsia="en-US" w:bidi="ar-SA"/>
        </w:rPr>
        <w:t>清</w:t>
      </w:r>
      <w:r>
        <w:rPr>
          <w:rFonts w:ascii="QQIHJK+AdobeHeitiStd-Regular-Identity-H" w:hAnsi="QQIHJK+AdobeHeitiStd-Regular-Identity-H" w:eastAsiaTheme="minorEastAsia" w:cs="QQIHJK+AdobeHeitiStd-Regular-Identity-H"/>
          <w:color w:val="808285"/>
          <w:sz w:val="16"/>
          <w:szCs w:val="22"/>
          <w:lang w:val="en-US" w:eastAsia="en-US" w:bidi="ar-SA"/>
        </w:rPr>
        <w:t>溶液。</w:t>
      </w:r>
    </w:p>
    <w:p>
      <w:pPr>
        <w:spacing w:before="0" w:after="0" w:line="262" w:lineRule="exact"/>
        <w:ind w:left="2167" w:right="0" w:firstLine="0"/>
        <w:jc w:val="left"/>
        <w:rPr>
          <w:rFonts w:ascii="QQIHJK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QQIHJK+AdobeHeitiStd-Regular-Identity-H" w:hAnsi="QQIHJK+AdobeHeitiStd-Regular-Identity-H" w:eastAsiaTheme="minorEastAsia" w:cs="QQIHJK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QQIHJK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DDEMK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DDEMKR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QQIHJK+AdobeHeitiStd-Regular-Identity-H" w:hAnsi="QQIHJK+AdobeHeitiStd-Regular-Identity-H" w:eastAsiaTheme="minorEastAsia" w:cs="QQIHJK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QQIHJK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DDEMK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DDEMKR+SegoeUI" w:hAnsi="DDEMKR+SegoeUI" w:eastAsiaTheme="minorEastAsia" w:cs="DDEMKR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DDEMK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808285"/>
          <w:sz w:val="16"/>
          <w:szCs w:val="22"/>
          <w:lang w:val="en-US" w:eastAsia="en-US" w:bidi="ar-SA"/>
        </w:rPr>
        <w:t>20.8</w:t>
      </w:r>
      <w:r>
        <w:rPr>
          <w:rFonts w:ascii="DDEMK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DDEMKR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QQIHJK+AdobeHeitiStd-Regular-Identity-H" w:hAnsi="QQIHJK+AdobeHeitiStd-Regular-Identity-H" w:eastAsiaTheme="minorEastAsia" w:cs="QQIHJK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QQIHJK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DDEMKR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QQIHJK+AdobeHeitiStd-Regular-Identity-H" w:hAnsi="QQIHJK+AdobeHeitiStd-Regular-Identity-H" w:eastAsiaTheme="minorEastAsia" w:cs="QQIHJK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QQIHJK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808285"/>
          <w:sz w:val="16"/>
          <w:szCs w:val="22"/>
          <w:lang w:val="en-US" w:eastAsia="en-US" w:bidi="ar-SA"/>
        </w:rPr>
        <w:t>400</w:t>
      </w:r>
      <w:r>
        <w:rPr>
          <w:rFonts w:ascii="DDEMK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DDEMKR+SegoeUI" w:hAnsi="DDEMKR+SegoeUI" w:eastAsiaTheme="minorEastAsia" w:cs="DDEMKR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DDEMK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808285"/>
          <w:sz w:val="16"/>
          <w:szCs w:val="22"/>
          <w:lang w:val="en-US" w:eastAsia="en-US" w:bidi="ar-SA"/>
        </w:rPr>
        <w:t>PEG300</w:t>
      </w:r>
      <w:r>
        <w:rPr>
          <w:rFonts w:ascii="DDEMKR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QQIHJK+AdobeHeitiStd-Regular-Identity-H" w:hAnsi="QQIHJK+AdobeHeitiStd-Regular-Identity-H" w:eastAsiaTheme="minorEastAsia" w:cs="QQIHJK+AdobeHeitiStd-Regular-Identity-H"/>
          <w:color w:val="808285"/>
          <w:sz w:val="16"/>
          <w:szCs w:val="22"/>
          <w:lang w:val="en-US" w:eastAsia="en-US" w:bidi="ar-SA"/>
        </w:rPr>
        <w:t>中，混合均匀；向上述体系中加⼊</w:t>
      </w:r>
      <w:r>
        <w:rPr>
          <w:rFonts w:ascii="QQIHJK+AdobeHeitiStd-Regular-Identity-H" w:hAnsi="QQIHJK+AdobeHeitiStd-Regular-Identity-H" w:eastAsiaTheme="minorEastAsia" w:cs="QQIHJK+AdobeHeitiStd-Regular-Identity-H"/>
          <w:color w:val="808285"/>
          <w:sz w:val="16"/>
          <w:szCs w:val="22"/>
          <w:lang w:val="en-US" w:eastAsia="en-US" w:bidi="ar-SA"/>
        </w:rPr>
        <w:cr/>
      </w:r>
      <w:r>
        <w:rPr>
          <w:rFonts w:ascii="DDEMKR+SegoeUI" w:hAnsi="Calibri" w:eastAsiaTheme="minorEastAsia" w:cstheme="minorBidi"/>
          <w:color w:val="808285"/>
          <w:sz w:val="16"/>
          <w:szCs w:val="22"/>
          <w:lang w:val="en-US" w:eastAsia="en-US" w:bidi="ar-SA"/>
        </w:rPr>
        <w:t>50</w:t>
      </w:r>
      <w:r>
        <w:rPr>
          <w:rFonts w:ascii="DDEMK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DDEMKR+SegoeUI" w:hAnsi="DDEMKR+SegoeUI" w:eastAsiaTheme="minorEastAsia" w:cs="DDEMKR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DDEMK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808285"/>
          <w:sz w:val="16"/>
          <w:szCs w:val="22"/>
          <w:lang w:val="en-US" w:eastAsia="en-US" w:bidi="ar-SA"/>
        </w:rPr>
        <w:t>Tween-80</w:t>
      </w:r>
      <w:r>
        <w:rPr>
          <w:rFonts w:ascii="QQIHJK+AdobeHeitiStd-Regular-Identity-H" w:hAnsi="QQIHJK+AdobeHeitiStd-Regular-Identity-H" w:eastAsiaTheme="minorEastAsia" w:cs="QQIHJK+AdobeHeitiStd-Regular-Identity-H"/>
          <w:color w:val="808285"/>
          <w:sz w:val="16"/>
          <w:szCs w:val="22"/>
          <w:lang w:val="en-US" w:eastAsia="en-US" w:bidi="ar-SA"/>
        </w:rPr>
        <w:t>，混合均匀；然后继续加⼊</w:t>
      </w:r>
      <w:r>
        <w:rPr>
          <w:rFonts w:ascii="QQIHJK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808285"/>
          <w:sz w:val="16"/>
          <w:szCs w:val="22"/>
          <w:lang w:val="en-US" w:eastAsia="en-US" w:bidi="ar-SA"/>
        </w:rPr>
        <w:t>450</w:t>
      </w:r>
      <w:r>
        <w:rPr>
          <w:rFonts w:ascii="DDEMK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DDEMKR+SegoeUI" w:hAnsi="DDEMKR+SegoeUI" w:eastAsiaTheme="minorEastAsia" w:cs="DDEMKR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DDEMKR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QQIHJK+AdobeHeitiStd-Regular-Identity-H" w:hAnsi="QQIHJK+AdobeHeitiStd-Regular-Identity-H" w:eastAsiaTheme="minorEastAsia" w:cs="QQIHJK+AdobeHeitiStd-Regular-Identity-H"/>
          <w:color w:val="808285"/>
          <w:sz w:val="16"/>
          <w:szCs w:val="22"/>
          <w:lang w:val="en-US" w:eastAsia="en-US" w:bidi="ar-SA"/>
        </w:rPr>
        <w:t>⽣理盐⽔定容⾄</w:t>
      </w:r>
      <w:r>
        <w:rPr>
          <w:rFonts w:ascii="QQIHJK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DDEMK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QQIHJK+AdobeHeitiStd-Regular-Identity-H" w:hAnsi="QQIHJK+AdobeHeitiStd-Regular-Identity-H" w:eastAsiaTheme="minorEastAsia" w:cs="QQIHJK+AdobeHeitiStd-Regular-Identity-H"/>
          <w:color w:val="808285"/>
          <w:sz w:val="16"/>
          <w:szCs w:val="22"/>
          <w:lang w:val="en-US" w:eastAsia="en-US" w:bidi="ar-SA"/>
        </w:rPr>
        <w:t>。</w:t>
      </w:r>
    </w:p>
    <w:p>
      <w:pPr>
        <w:spacing w:before="178" w:after="0" w:line="242" w:lineRule="exact"/>
        <w:ind w:left="1992" w:right="0" w:firstLine="0"/>
        <w:jc w:val="left"/>
        <w:rPr>
          <w:rFonts w:ascii="INDQJI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QIHJK+AdobeHeitiStd-Regular-Identity-H" w:hAnsi="QQIHJK+AdobeHeitiStd-Regular-Identity-H" w:eastAsiaTheme="minorEastAsia" w:cs="QQIHJK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QQIHJK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INDQJI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90%</w:t>
      </w: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(20%</w:t>
      </w: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DQJI+SegoeUI-SemiBold" w:hAnsi="INDQJI+SegoeUI-SemiBold" w:eastAsiaTheme="minorEastAsia" w:cs="INDQJI+SegoeUI-SemiBold"/>
          <w:b/>
          <w:color w:val="3E3A39"/>
          <w:sz w:val="17"/>
          <w:szCs w:val="22"/>
          <w:lang w:val="en-US" w:eastAsia="en-US" w:bidi="ar-SA"/>
        </w:rPr>
        <w:t>SBE-β-CD</w:t>
      </w: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in</w:t>
      </w: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DQJ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saline)</w:t>
      </w:r>
    </w:p>
    <w:p>
      <w:pPr>
        <w:spacing w:before="36" w:after="0" w:line="236" w:lineRule="exact"/>
        <w:ind w:left="2167" w:right="0" w:firstLine="0"/>
        <w:jc w:val="left"/>
        <w:rPr>
          <w:rFonts w:ascii="DDEMK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DDEMKR+SegoeUI" w:eastAsiaTheme="minorEastAsia" w:cs="DDEMKR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2.08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(4.00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DEM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09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77" w:right="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1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61" w:lineRule="exact"/>
        <w:ind w:left="2167" w:right="0" w:firstLine="0"/>
        <w:jc w:val="left"/>
        <w:rPr>
          <w:rFonts w:ascii="PICGPR+AdobeHeitiStd-Regular-Identity-H" w:hAnsi="Calibri"/>
          <w:color w:val="000000"/>
          <w:sz w:val="16"/>
          <w:szCs w:val="22"/>
          <w:lang w:val="en-US" w:eastAsia="en-US" w:bidi="ar-SA"/>
        </w:rPr>
      </w:pPr>
      <w:bookmarkStart w:id="2" w:name="br1_1"/>
      <w:bookmarkEnd w:id="2"/>
      <w:r>
        <w:rPr>
          <w:noProof/>
        </w:rPr>
        <w:pict>
          <v:shape id="_x0000_s1027" type="#_x0000_t75" style="width:553pt;height:3pt;margin-top:29pt;margin-left:29.5pt;mso-position-horizontal-relative:page;mso-position-vertical-relative:page;position:absolute;z-index:-251652096">
            <v:imagedata r:id="rId6" o:title=""/>
          </v:shape>
        </w:pict>
      </w:r>
      <w:bookmarkStart w:id="3" w:name="br1_2"/>
      <w:bookmarkEnd w:id="3"/>
      <w:r>
        <w:rPr>
          <w:noProof/>
        </w:rPr>
        <w:pict>
          <v:shape id="_x0000_s1028" type="#_x0000_t75" style="width:552.25pt;height:688.25pt;margin-top:34pt;margin-left:29.85pt;mso-position-horizontal-relative:page;mso-position-vertical-relative:page;position:absolute;z-index:-251654144">
            <v:imagedata r:id="rId7" o:title=""/>
          </v:shape>
        </w:pict>
      </w:r>
      <w:r>
        <w:rPr>
          <w:noProof/>
        </w:rPr>
        <w:pict>
          <v:shape id="_x0000_s1029" type="#_x0000_t75" style="width:553pt;height:3pt;margin-top:751pt;margin-left:29.5pt;mso-position-horizontal-relative:page;mso-position-vertical-relative:page;position:absolute;z-index:-251657216">
            <v:imagedata r:id="rId5" o:title=""/>
          </v:shape>
        </w:pict>
      </w:r>
      <w:r>
        <w:rPr>
          <w:rFonts w:ascii="PICGPR+AdobeHeitiStd-Regular-Identity-H" w:hAnsi="PICGPR+AdobeHeitiStd-Regular-Identity-H" w:eastAsiaTheme="minorEastAsia" w:cs="PICGPR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PICGPR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HOTPE+SegoeUI" w:hAnsi="JHOTPE+SegoeUI" w:eastAsiaTheme="minorEastAsia" w:cs="JHOTPE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>2.08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>(4.00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PICGPR+AdobeHeitiStd-Regular-Identity-H" w:hAnsi="PICGPR+AdobeHeitiStd-Regular-Identity-H" w:eastAsiaTheme="minorEastAsia" w:cs="PICGPR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JHOTPE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PICGPR+AdobeHeitiStd-Regular-Identity-H" w:hAnsi="PICGPR+AdobeHeitiStd-Regular-Identity-H" w:eastAsiaTheme="minorEastAsia" w:cs="PICGPR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PICGPR+AdobeHeitiStd-Regular-Identity-H" w:hAnsi="PICGPR+AdobeHeitiStd-Regular-Identity-H" w:eastAsiaTheme="minorEastAsia" w:cs="PICGPR+AdobeHeitiStd-Regular-Identity-H"/>
          <w:color w:val="808285"/>
          <w:spacing w:val="-10324"/>
          <w:sz w:val="16"/>
          <w:szCs w:val="22"/>
          <w:lang w:val="en-US" w:eastAsia="en-US" w:bidi="ar-SA"/>
        </w:rPr>
        <w:t>清</w:t>
      </w:r>
      <w:r>
        <w:rPr>
          <w:rFonts w:ascii="PICGPR+AdobeHeitiStd-Regular-Identity-H" w:hAnsi="PICGPR+AdobeHeitiStd-Regular-Identity-H" w:eastAsiaTheme="minorEastAsia" w:cs="PICGPR+AdobeHeitiStd-Regular-Identity-H"/>
          <w:color w:val="808285"/>
          <w:sz w:val="16"/>
          <w:szCs w:val="22"/>
          <w:lang w:val="en-US" w:eastAsia="en-US" w:bidi="ar-SA"/>
        </w:rPr>
        <w:t>溶液。</w:t>
      </w:r>
      <w:r>
        <w:rPr>
          <w:rFonts w:ascii="PICGPR+AdobeHeitiStd-Regular-Identity-H" w:hAnsi="PICGPR+AdobeHeitiStd-Regular-Identity-H" w:eastAsiaTheme="minorEastAsia" w:cs="PICGPR+AdobeHeitiStd-Regular-Identity-H"/>
          <w:color w:val="808285"/>
          <w:sz w:val="16"/>
          <w:szCs w:val="22"/>
          <w:lang w:val="en-US" w:eastAsia="en-US" w:bidi="ar-SA"/>
        </w:rPr>
        <w:cr/>
      </w:r>
      <w:r>
        <w:rPr>
          <w:rFonts w:ascii="PICGPR+AdobeHeitiStd-Regular-Identity-H" w:hAnsi="PICGPR+AdobeHeitiStd-Regular-Identity-H" w:eastAsiaTheme="minorEastAsia" w:cs="PICGPR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PICGPR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JHOTPE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PICGPR+AdobeHeitiStd-Regular-Identity-H" w:hAnsi="PICGPR+AdobeHeitiStd-Regular-Identity-H" w:eastAsiaTheme="minorEastAsia" w:cs="PICGPR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PICGPR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HOTPE+SegoeUI" w:hAnsi="JHOTPE+SegoeUI" w:eastAsiaTheme="minorEastAsia" w:cs="JHOTPE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>20.8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JHOTPE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PICGPR+AdobeHeitiStd-Regular-Identity-H" w:hAnsi="PICGPR+AdobeHeitiStd-Regular-Identity-H" w:eastAsiaTheme="minorEastAsia" w:cs="PICGPR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PICGPR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JHOTPE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PICGPR+AdobeHeitiStd-Regular-Identity-H" w:hAnsi="PICGPR+AdobeHeitiStd-Regular-Identity-H" w:eastAsiaTheme="minorEastAsia" w:cs="PICGPR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PICGPR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>900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HOTPE+SegoeUI" w:hAnsi="JHOTPE+SegoeUI" w:eastAsiaTheme="minorEastAsia" w:cs="JHOTPE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>20%</w:t>
      </w:r>
      <w:r>
        <w:rPr>
          <w:rFonts w:ascii="JHOTPE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PICGPR+AdobeHeitiStd-Regular-Identity-H" w:hAnsi="PICGPR+AdobeHeitiStd-Regular-Identity-H" w:eastAsiaTheme="minorEastAsia" w:cs="PICGPR+AdobeHeitiStd-Regular-Identity-H"/>
          <w:color w:val="808285"/>
          <w:sz w:val="16"/>
          <w:szCs w:val="22"/>
          <w:lang w:val="en-US" w:eastAsia="en-US" w:bidi="ar-SA"/>
        </w:rPr>
        <w:t>的</w:t>
      </w:r>
      <w:r>
        <w:rPr>
          <w:rFonts w:ascii="PICGPR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HOTPE+SegoeUI" w:hAnsi="JHOTPE+SegoeUI" w:eastAsiaTheme="minorEastAsia" w:cs="JHOTPE+SegoeUI"/>
          <w:color w:val="808285"/>
          <w:sz w:val="16"/>
          <w:szCs w:val="22"/>
          <w:lang w:val="en-US" w:eastAsia="en-US" w:bidi="ar-SA"/>
        </w:rPr>
        <w:t>SBE-β-CD</w:t>
      </w:r>
      <w:r>
        <w:rPr>
          <w:rFonts w:ascii="JHOTPE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PICGPR+AdobeHeitiStd-Regular-Identity-H" w:hAnsi="PICGPR+AdobeHeitiStd-Regular-Identity-H" w:eastAsiaTheme="minorEastAsia" w:cs="PICGPR+AdobeHeitiStd-Regular-Identity-H"/>
          <w:color w:val="808285"/>
          <w:sz w:val="16"/>
          <w:szCs w:val="22"/>
          <w:lang w:val="en-US" w:eastAsia="en-US" w:bidi="ar-SA"/>
        </w:rPr>
        <w:t>⽣理盐⽔⽔溶液中，混合</w:t>
      </w:r>
    </w:p>
    <w:p>
      <w:pPr>
        <w:spacing w:before="32" w:after="0" w:line="210" w:lineRule="exact"/>
        <w:ind w:left="2167" w:right="0" w:firstLine="0"/>
        <w:jc w:val="left"/>
        <w:rPr>
          <w:rFonts w:ascii="PICGPR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PICGPR+AdobeHeitiStd-Regular-Identity-H" w:hAnsi="PICGPR+AdobeHeitiStd-Regular-Identity-H" w:eastAsiaTheme="minorEastAsia" w:cs="PICGPR+AdobeHeitiStd-Regular-Identity-H"/>
          <w:color w:val="808285"/>
          <w:sz w:val="16"/>
          <w:szCs w:val="22"/>
          <w:lang w:val="en-US" w:eastAsia="en-US" w:bidi="ar-SA"/>
        </w:rPr>
        <w:t>均匀。</w:t>
      </w:r>
    </w:p>
    <w:p>
      <w:pPr>
        <w:spacing w:before="176" w:after="0" w:line="242" w:lineRule="exact"/>
        <w:ind w:left="1992" w:right="0" w:firstLine="0"/>
        <w:jc w:val="left"/>
        <w:rPr>
          <w:rFonts w:ascii="DWVWLJ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3.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ICGPR+AdobeHeitiStd-Regular-Identity-H" w:hAnsi="PICGPR+AdobeHeitiStd-Regular-Identity-H" w:eastAsiaTheme="minorEastAsia" w:cs="PICGPR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PICGPR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DWVW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DWVW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WVW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DWVWLJ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DWVW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90%</w:t>
      </w:r>
      <w:r>
        <w:rPr>
          <w:rFonts w:ascii="DWVW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WVW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corn</w:t>
      </w:r>
      <w:r>
        <w:rPr>
          <w:rFonts w:ascii="DWVW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WVW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oil</w:t>
      </w:r>
    </w:p>
    <w:p>
      <w:pPr>
        <w:spacing w:before="36" w:after="0" w:line="236" w:lineRule="exact"/>
        <w:ind w:left="2167" w:right="0" w:firstLine="0"/>
        <w:jc w:val="left"/>
        <w:rPr>
          <w:rFonts w:ascii="JHOTPE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JHOTPE+SegoeUI" w:eastAsiaTheme="minorEastAsia" w:cs="JHOTPE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2.08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(4.00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7" w:right="0" w:firstLine="0"/>
        <w:jc w:val="left"/>
        <w:rPr>
          <w:rFonts w:ascii="PICGPR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PICGPR+AdobeHeitiStd-Regular-Identity-H" w:hAnsi="PICGPR+AdobeHeitiStd-Regular-Identity-H" w:eastAsiaTheme="minorEastAsia" w:cs="PICGPR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PICGPR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HOTPE+SegoeUI" w:hAnsi="JHOTPE+SegoeUI" w:eastAsiaTheme="minorEastAsia" w:cs="JHOTPE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>2.08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>(4.00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PICGPR+AdobeHeitiStd-Regular-Identity-H" w:hAnsi="PICGPR+AdobeHeitiStd-Regular-Identity-H" w:eastAsiaTheme="minorEastAsia" w:cs="PICGPR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JHOTPE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PICGPR+AdobeHeitiStd-Regular-Identity-H" w:hAnsi="PICGPR+AdobeHeitiStd-Regular-Identity-H" w:eastAsiaTheme="minorEastAsia" w:cs="PICGPR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PICGPR+AdobeHeitiStd-Regular-Identity-H" w:hAnsi="Calibri" w:eastAsiaTheme="minorEastAsia" w:cstheme="minorBidi"/>
          <w:color w:val="808285"/>
          <w:spacing w:val="124"/>
          <w:sz w:val="16"/>
          <w:szCs w:val="22"/>
          <w:lang w:val="en-US" w:eastAsia="en-US" w:bidi="ar-SA"/>
        </w:rPr>
        <w:t xml:space="preserve"> </w:t>
      </w:r>
      <w:r>
        <w:rPr>
          <w:rFonts w:ascii="PICGPR+AdobeHeitiStd-Regular-Identity-H" w:hAnsi="PICGPR+AdobeHeitiStd-Regular-Identity-H" w:eastAsiaTheme="minorEastAsia" w:cs="PICGPR+AdobeHeitiStd-Regular-Identity-H"/>
          <w:color w:val="808285"/>
          <w:sz w:val="16"/>
          <w:szCs w:val="22"/>
          <w:lang w:val="en-US" w:eastAsia="en-US" w:bidi="ar-SA"/>
        </w:rPr>
        <w:t>溶液，此⽅案不适⽤于实验周</w:t>
      </w:r>
      <w:r>
        <w:rPr>
          <w:rFonts w:ascii="PICGPR+AdobeHeitiStd-Regular-Identity-H" w:hAnsi="Calibri" w:eastAsiaTheme="minorEastAsia" w:cstheme="minorBidi"/>
          <w:color w:val="808285"/>
          <w:spacing w:val="121"/>
          <w:sz w:val="16"/>
          <w:szCs w:val="22"/>
          <w:lang w:val="en-US" w:eastAsia="en-US" w:bidi="ar-SA"/>
        </w:rPr>
        <w:t xml:space="preserve"> </w:t>
      </w:r>
      <w:r>
        <w:rPr>
          <w:rFonts w:ascii="PICGPR+AdobeHeitiStd-Regular-Identity-H" w:hAnsi="PICGPR+AdobeHeitiStd-Regular-Identity-H" w:eastAsiaTheme="minorEastAsia" w:cs="PICGPR+AdobeHeitiStd-Regular-Identity-H"/>
          <w:color w:val="808285"/>
          <w:sz w:val="16"/>
          <w:szCs w:val="22"/>
          <w:lang w:val="en-US" w:eastAsia="en-US" w:bidi="ar-SA"/>
        </w:rPr>
        <w:t>期在半个⽉以上的实验。</w:t>
      </w:r>
    </w:p>
    <w:p>
      <w:pPr>
        <w:spacing w:before="28" w:after="0" w:line="228" w:lineRule="exact"/>
        <w:ind w:left="2167" w:right="0" w:firstLine="0"/>
        <w:jc w:val="left"/>
        <w:rPr>
          <w:rFonts w:ascii="PICGPR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PICGPR+AdobeHeitiStd-Regular-Identity-H" w:hAnsi="PICGPR+AdobeHeitiStd-Regular-Identity-H" w:eastAsiaTheme="minorEastAsia" w:cs="PICGPR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PICGPR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JHOTPE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PICGPR+AdobeHeitiStd-Regular-Identity-H" w:hAnsi="PICGPR+AdobeHeitiStd-Regular-Identity-H" w:eastAsiaTheme="minorEastAsia" w:cs="PICGPR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PICGPR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HOTPE+SegoeUI" w:hAnsi="JHOTPE+SegoeUI" w:eastAsiaTheme="minorEastAsia" w:cs="JHOTPE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>20.8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JHOTPE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PICGPR+AdobeHeitiStd-Regular-Identity-H" w:hAnsi="PICGPR+AdobeHeitiStd-Regular-Identity-H" w:eastAsiaTheme="minorEastAsia" w:cs="PICGPR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PICGPR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JHOTPE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PICGPR+AdobeHeitiStd-Regular-Identity-H" w:hAnsi="PICGPR+AdobeHeitiStd-Regular-Identity-H" w:eastAsiaTheme="minorEastAsia" w:cs="PICGPR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PICGPR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>900</w:t>
      </w:r>
      <w:r>
        <w:rPr>
          <w:rFonts w:ascii="JHOTPE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HOTPE+SegoeUI" w:hAnsi="JHOTPE+SegoeUI" w:eastAsiaTheme="minorEastAsia" w:cs="JHOTPE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JHOTPE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PICGPR+AdobeHeitiStd-Regular-Identity-H" w:hAnsi="PICGPR+AdobeHeitiStd-Regular-Identity-H" w:eastAsiaTheme="minorEastAsia" w:cs="PICGPR+AdobeHeitiStd-Regular-Identity-H"/>
          <w:color w:val="808285"/>
          <w:sz w:val="16"/>
          <w:szCs w:val="22"/>
          <w:lang w:val="en-US" w:eastAsia="en-US" w:bidi="ar-SA"/>
        </w:rPr>
        <w:t>⽟⽶油中，混合均匀。</w:t>
      </w:r>
    </w:p>
    <w:p>
      <w:pPr>
        <w:spacing w:before="1065" w:after="219" w:line="276" w:lineRule="exact"/>
        <w:ind w:left="216" w:right="0" w:firstLine="0"/>
        <w:jc w:val="left"/>
        <w:rPr>
          <w:rFonts w:ascii="DWVWLJ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DWVWLJ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BIOLOGICAL</w:t>
      </w:r>
      <w:r>
        <w:rPr>
          <w:rFonts w:ascii="DWVWLJ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 xml:space="preserve"> </w:t>
      </w:r>
      <w:r>
        <w:rPr>
          <w:rFonts w:ascii="DWVWLJ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ACTIVITY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4773"/>
        <w:gridCol w:w="20"/>
        <w:gridCol w:w="5760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488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WVWLJ+SegoeUI-SemiBold" w:hAnsi="Calibri"/>
                <w:b/>
                <w:color w:val="000000"/>
                <w:sz w:val="20"/>
                <w:szCs w:val="22"/>
                <w:lang w:val="en-US" w:eastAsia="en-US" w:bidi="ar-SA"/>
              </w:rPr>
            </w:pPr>
          </w:p>
        </w:tc>
        <w:tc>
          <w:tcPr>
            <w:tcW w:w="477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JHOTPE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PICGPR+AdobeHeitiStd-Regular-Identity-H" w:hAnsi="PICGPR+AdobeHeitiStd-Regular-Identity-H" w:eastAsiaTheme="minorEastAsia" w:cs="PICGPR+AdobeHeitiStd-Regular-Identity-H"/>
                <w:color w:val="3E3A39"/>
                <w:sz w:val="17"/>
                <w:szCs w:val="22"/>
                <w:lang w:val="en-US" w:eastAsia="en-US" w:bidi="ar-SA"/>
              </w:rPr>
              <w:t>⽣物活性</w:t>
            </w:r>
            <w:r>
              <w:rPr>
                <w:rFonts w:ascii="PICGPR+AdobeHeitiStd-Regular-Identity-H" w:hAnsi="Calibri" w:eastAsiaTheme="minorEastAsia" w:cstheme="minorBidi"/>
                <w:color w:val="3E3A39"/>
                <w:spacing w:val="1044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HOTPE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Tenofovir</w:t>
            </w:r>
            <w:r>
              <w:rPr>
                <w:rFonts w:ascii="JHOTPE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HOTPE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Disoproxil</w:t>
            </w:r>
            <w:r>
              <w:rPr>
                <w:rFonts w:ascii="JHOTPE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HOTPE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(Bis(POC)-PMPA)</w:t>
            </w:r>
          </w:p>
          <w:p>
            <w:pPr>
              <w:spacing w:before="50" w:after="0" w:line="212" w:lineRule="exact"/>
              <w:ind w:left="1762" w:right="0" w:firstLine="0"/>
              <w:jc w:val="left"/>
              <w:rPr>
                <w:rFonts w:ascii="PICGPR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PICGPR+AdobeHeitiStd-Regular-Identity-H" w:hAnsi="PICGPR+AdobeHeitiStd-Regular-Identity-H" w:eastAsiaTheme="minorEastAsia" w:cs="PICGPR+AdobeHeitiStd-Regular-Identity-H"/>
                <w:color w:val="3E3A39"/>
                <w:sz w:val="17"/>
                <w:szCs w:val="22"/>
                <w:lang w:val="en-US" w:eastAsia="en-US" w:bidi="ar-SA"/>
              </w:rPr>
              <w:t>疗艾滋病和慢性⼄型肝炎。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ICGPR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576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PICGPR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PICGPR+AdobeHeitiStd-Regular-Identity-H" w:hAnsi="PICGPR+AdobeHeitiStd-Regular-Identity-H" w:eastAsiaTheme="minorEastAsia" w:cs="PICGPR+AdobeHeitiStd-Regular-Identity-H"/>
                <w:color w:val="3E3A39"/>
                <w:sz w:val="17"/>
                <w:szCs w:val="22"/>
                <w:lang w:val="en-US" w:eastAsia="en-US" w:bidi="ar-SA"/>
              </w:rPr>
              <w:t>核苷酸逆转录酶抑制剂</w:t>
            </w:r>
            <w:r>
              <w:rPr>
                <w:rFonts w:ascii="PICGPR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ICGPR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(</w:t>
            </w:r>
            <w:r>
              <w:rPr>
                <w:rFonts w:ascii="DWVWLJ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nucleotide</w:t>
            </w:r>
            <w:r>
              <w:rPr>
                <w:rFonts w:ascii="DWVWLJ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WVWLJ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reverse</w:t>
            </w:r>
            <w:r>
              <w:rPr>
                <w:rFonts w:ascii="DWVWLJ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WVWLJ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transcriptase</w:t>
            </w:r>
            <w:r>
              <w:rPr>
                <w:rFonts w:ascii="DWVWLJ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WVWLJ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inhibitor</w:t>
            </w:r>
            <w:r>
              <w:rPr>
                <w:rFonts w:ascii="JHOTPE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)</w:t>
            </w:r>
            <w:r>
              <w:rPr>
                <w:rFonts w:ascii="PICGPR+AdobeHeitiStd-Regular-Identity-H" w:hAnsi="PICGPR+AdobeHeitiStd-Regular-Identity-H" w:eastAsiaTheme="minorEastAsia" w:cs="PICGPR+AdobeHeitiStd-Regular-Identity-H"/>
                <w:color w:val="3E3A39"/>
                <w:sz w:val="17"/>
                <w:szCs w:val="22"/>
                <w:lang w:val="en-US" w:eastAsia="en-US" w:bidi="ar-SA"/>
              </w:rPr>
              <w:t>，⽤于治</w:t>
            </w:r>
          </w:p>
        </w:tc>
      </w:tr>
    </w:tbl>
    <w:p>
      <w:pPr>
        <w:spacing w:before="321" w:after="0" w:line="237" w:lineRule="exact"/>
        <w:ind w:left="250" w:right="0" w:firstLine="0"/>
        <w:jc w:val="left"/>
        <w:rPr>
          <w:rFonts w:ascii="JHOTPE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ICGPR+AdobeHeitiStd-Regular-Identity-H" w:hAnsi="PICGPR+AdobeHeitiStd-Regular-Identity-H" w:eastAsiaTheme="minorEastAsia" w:cs="PICGPR+AdobeHeitiStd-Regular-Identity-H"/>
          <w:color w:val="3E3A39"/>
          <w:sz w:val="17"/>
          <w:szCs w:val="22"/>
          <w:lang w:val="en-US" w:eastAsia="en-US" w:bidi="ar-SA"/>
        </w:rPr>
        <w:t>体外研究</w:t>
      </w:r>
      <w:r>
        <w:rPr>
          <w:rFonts w:ascii="PICGPR+AdobeHeitiStd-Regular-Identity-H" w:hAnsi="Calibri" w:eastAsiaTheme="minorEastAsia" w:cstheme="minorBidi"/>
          <w:color w:val="3E3A39"/>
          <w:spacing w:val="1044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Tenofovir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shows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cytotoxic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effects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viability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HK-2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cells,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IC</w:t>
      </w:r>
      <w:r>
        <w:rPr>
          <w:rFonts w:ascii="JHOTPE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JHOTPE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values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9.21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2.77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JHOTPE+SegoeUI" w:eastAsiaTheme="minorEastAsia" w:cs="JHOTPE+SegoeUI"/>
          <w:color w:val="3E3A39"/>
          <w:sz w:val="17"/>
          <w:szCs w:val="22"/>
          <w:lang w:val="en-US" w:eastAsia="en-US" w:bidi="ar-SA"/>
        </w:rPr>
        <w:t>μM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48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72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h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</w:p>
    <w:p>
      <w:pPr>
        <w:spacing w:before="35" w:after="0" w:line="236" w:lineRule="exact"/>
        <w:ind w:left="2012" w:right="0" w:firstLine="0"/>
        <w:jc w:val="left"/>
        <w:rPr>
          <w:rFonts w:ascii="JHOTPE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MTT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assay,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respectively.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Tenofovir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diminishes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ATP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levels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HK-2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cells.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Tenofovir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(3.0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28.8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JHOTPE+SegoeUI" w:eastAsiaTheme="minorEastAsia" w:cs="JHOTPE+SegoeUI"/>
          <w:color w:val="3E3A39"/>
          <w:sz w:val="17"/>
          <w:szCs w:val="22"/>
          <w:lang w:val="en-US" w:eastAsia="en-US" w:bidi="ar-SA"/>
        </w:rPr>
        <w:t>μM)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increases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oxidative</w:t>
      </w:r>
    </w:p>
    <w:p>
      <w:pPr>
        <w:spacing w:before="35" w:after="0" w:line="236" w:lineRule="exact"/>
        <w:ind w:left="2012" w:right="0" w:firstLine="0"/>
        <w:jc w:val="left"/>
        <w:rPr>
          <w:rFonts w:ascii="JHOTPE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stress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protein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carbonylation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HK-2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cells.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Furthermore,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Tenofovir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induces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apoptosis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HK-2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cells,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that</w:t>
      </w:r>
    </w:p>
    <w:p>
      <w:pPr>
        <w:spacing w:before="35" w:after="0" w:line="236" w:lineRule="exact"/>
        <w:ind w:left="2012" w:right="0" w:firstLine="0"/>
        <w:jc w:val="left"/>
        <w:rPr>
          <w:rFonts w:ascii="JHOTPE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apoptosis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induced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via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mitochondrial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damage</w:t>
      </w:r>
      <w:r>
        <w:rPr>
          <w:rFonts w:ascii="JHOTPE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Tenofovir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M48U1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formulated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0.25%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HEC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each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</w:p>
    <w:p>
      <w:pPr>
        <w:spacing w:before="35" w:after="0" w:line="236" w:lineRule="exact"/>
        <w:ind w:left="2012" w:right="0" w:firstLine="0"/>
        <w:jc w:val="left"/>
        <w:rPr>
          <w:rFonts w:ascii="JHOTPE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replication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both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R5-tropic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HIV-1</w:t>
      </w:r>
      <w:r>
        <w:rPr>
          <w:rFonts w:ascii="JHOTPE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BaL</w:t>
      </w:r>
      <w:r>
        <w:rPr>
          <w:rFonts w:ascii="JHOTPE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X4-tropic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HIV-1</w:t>
      </w:r>
      <w:r>
        <w:rPr>
          <w:rFonts w:ascii="JHOTPE+SegoeUI" w:hAnsi="Calibri" w:eastAsiaTheme="minorEastAsia" w:cstheme="minorBidi"/>
          <w:color w:val="3E3A39"/>
          <w:sz w:val="14"/>
          <w:szCs w:val="22"/>
          <w:lang w:val="en-US" w:eastAsia="en-US" w:bidi="ar-SA"/>
        </w:rPr>
        <w:t>IIIb</w:t>
      </w:r>
      <w:r>
        <w:rPr>
          <w:rFonts w:ascii="JHOTPE+SegoeUI" w:hAnsi="Calibri" w:eastAsiaTheme="minorEastAsia" w:cstheme="minorBidi"/>
          <w:color w:val="3E3A39"/>
          <w:spacing w:val="9"/>
          <w:sz w:val="14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activated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PBMCs,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several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laboratory</w:t>
      </w:r>
    </w:p>
    <w:p>
      <w:pPr>
        <w:spacing w:before="35" w:after="0" w:line="236" w:lineRule="exact"/>
        <w:ind w:left="2012" w:right="0" w:firstLine="0"/>
        <w:jc w:val="left"/>
        <w:rPr>
          <w:rFonts w:ascii="JHOTPE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strains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patient-derived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HIV-1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isolates.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combined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formulation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M48U1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tenofovir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0.25%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HEC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exhibits</w:t>
      </w:r>
    </w:p>
    <w:p>
      <w:pPr>
        <w:spacing w:before="35" w:after="0" w:line="236" w:lineRule="exact"/>
        <w:ind w:left="2012" w:right="0" w:firstLine="0"/>
        <w:jc w:val="left"/>
        <w:rPr>
          <w:rFonts w:ascii="JHOTPE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synergistic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antiretroviral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activity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against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infection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R5-tropic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HIV-1</w:t>
      </w:r>
      <w:r>
        <w:rPr>
          <w:rFonts w:ascii="JHOTPE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BaL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,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not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toxic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PBMCs</w:t>
      </w:r>
      <w:r>
        <w:rPr>
          <w:rFonts w:ascii="JHOTPE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05" w:after="0" w:line="236" w:lineRule="exact"/>
        <w:ind w:left="250" w:right="0" w:firstLine="0"/>
        <w:jc w:val="left"/>
        <w:rPr>
          <w:rFonts w:ascii="JHOTPE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ICGPR+AdobeHeitiStd-Regular-Identity-H" w:hAnsi="PICGPR+AdobeHeitiStd-Regular-Identity-H" w:eastAsiaTheme="minorEastAsia" w:cs="PICGPR+AdobeHeitiStd-Regular-Identity-H"/>
          <w:color w:val="3E3A39"/>
          <w:sz w:val="17"/>
          <w:szCs w:val="22"/>
          <w:lang w:val="en-US" w:eastAsia="en-US" w:bidi="ar-SA"/>
        </w:rPr>
        <w:t>体内研究</w:t>
      </w:r>
      <w:r>
        <w:rPr>
          <w:rFonts w:ascii="PICGPR+AdobeHeitiStd-Regular-Identity-H" w:hAnsi="Calibri" w:eastAsiaTheme="minorEastAsia" w:cstheme="minorBidi"/>
          <w:color w:val="3E3A39"/>
          <w:spacing w:val="1044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Tenofovir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Disoproxil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Fumarate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(20,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50,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140,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300</w:t>
      </w:r>
      <w:r>
        <w:rPr>
          <w:rFonts w:ascii="JHOTPE+SegoeUI" w:hAnsi="Calibri" w:eastAsiaTheme="minorEastAsia" w:cstheme="minorBidi"/>
          <w:color w:val="3E3A39"/>
          <w:spacing w:val="-13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mg/kg)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administered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BLT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mice,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shows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dependent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activity</w:t>
      </w:r>
    </w:p>
    <w:p>
      <w:pPr>
        <w:spacing w:before="0" w:after="0" w:line="266" w:lineRule="exact"/>
        <w:ind w:left="2012" w:right="0" w:firstLine="0"/>
        <w:jc w:val="left"/>
        <w:rPr>
          <w:rFonts w:ascii="JHOTPE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during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vaginal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HIV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challenge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BLT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humanized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mice.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Tenofovir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Disoproxil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Fumarate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(50,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140,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300</w:t>
      </w:r>
      <w:r>
        <w:rPr>
          <w:rFonts w:ascii="JHOTPE+SegoeUI" w:hAnsi="Calibri" w:eastAsiaTheme="minorEastAsia" w:cstheme="minorBidi"/>
          <w:color w:val="3E3A39"/>
          <w:spacing w:val="-13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mg/kg)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JHOTPE+SegoeUI" w:eastAsiaTheme="minorEastAsia" w:cs="JHOTPE+SegoeUI"/>
          <w:color w:val="3E3A39"/>
          <w:sz w:val="17"/>
          <w:szCs w:val="22"/>
          <w:lang w:val="en-US" w:eastAsia="en-US" w:bidi="ar-SA"/>
        </w:rPr>
        <w:t>significantly</w:t>
      </w:r>
      <w:r>
        <w:rPr>
          <w:rFonts w:ascii="JHOTPE+SegoeUI" w:hAnsi="JHOTPE+SegoeUI" w:eastAsiaTheme="minorEastAsia" w:cs="JHOTPE+SegoeUI"/>
          <w:color w:val="3E3A39"/>
          <w:sz w:val="17"/>
          <w:szCs w:val="22"/>
          <w:lang w:val="en-US" w:eastAsia="en-US" w:bidi="ar-SA"/>
        </w:rPr>
        <w:cr/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reduces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HIV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transmission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BLT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JHOTPE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[3]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Tenofovir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Disoproxil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Fumarate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(0.5,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1.5,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5.0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mg/kg/day,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p.o.)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induces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JHOTPE+SegoeUI" w:eastAsiaTheme="minorEastAsia" w:cs="JHOTPE+SegoeUI"/>
          <w:color w:val="3E3A39"/>
          <w:sz w:val="17"/>
          <w:szCs w:val="22"/>
          <w:lang w:val="en-US" w:eastAsia="en-US" w:bidi="ar-SA"/>
        </w:rPr>
        <w:t>a</w:t>
      </w:r>
      <w:r>
        <w:rPr>
          <w:rFonts w:ascii="JHOTPE+SegoeUI" w:hAnsi="JHOTPE+SegoeUI" w:eastAsiaTheme="minorEastAsia" w:cs="JHOTPE+SegoeUI"/>
          <w:color w:val="3E3A39"/>
          <w:sz w:val="17"/>
          <w:szCs w:val="22"/>
          <w:lang w:val="en-US" w:eastAsia="en-US" w:bidi="ar-SA"/>
        </w:rPr>
        <w:cr/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dose-dependent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decline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serum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viremia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woodchucks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chronically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infected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WHV.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Tenofovir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JHOTPE+SegoeUI" w:eastAsiaTheme="minorEastAsia" w:cs="JHOTPE+SegoeUI"/>
          <w:color w:val="3E3A39"/>
          <w:sz w:val="17"/>
          <w:szCs w:val="22"/>
          <w:lang w:val="en-US" w:eastAsia="en-US" w:bidi="ar-SA"/>
        </w:rPr>
        <w:t>Disoproxil</w:t>
      </w:r>
      <w:r>
        <w:rPr>
          <w:rFonts w:ascii="JHOTPE+SegoeUI" w:hAnsi="JHOTPE+SegoeUI" w:eastAsiaTheme="minorEastAsia" w:cs="JHOTPE+SegoeUI"/>
          <w:color w:val="3E3A39"/>
          <w:sz w:val="17"/>
          <w:szCs w:val="22"/>
          <w:lang w:val="en-US" w:eastAsia="en-US" w:bidi="ar-SA"/>
        </w:rPr>
        <w:cr/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Fumarate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administration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safe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effective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woodchuck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model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chronic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HBV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infection</w:t>
      </w:r>
      <w:r>
        <w:rPr>
          <w:rFonts w:ascii="JHOTPE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[4]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820" w:after="0" w:line="276" w:lineRule="exact"/>
        <w:ind w:left="231" w:right="0" w:firstLine="0"/>
        <w:jc w:val="left"/>
        <w:rPr>
          <w:rFonts w:ascii="DWVWLJ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DWVWLJ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PROTOCOL</w:t>
      </w:r>
    </w:p>
    <w:p>
      <w:pPr>
        <w:spacing w:before="255" w:after="0" w:line="236" w:lineRule="exact"/>
        <w:ind w:left="260" w:right="0" w:firstLine="0"/>
        <w:jc w:val="left"/>
        <w:rPr>
          <w:rFonts w:ascii="JHOTPE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DWVW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Cell</w:t>
      </w:r>
      <w:r>
        <w:rPr>
          <w:rFonts w:ascii="DWVW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WVW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Assay</w:t>
      </w:r>
      <w:r>
        <w:rPr>
          <w:rFonts w:ascii="DWVW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WVWLJ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DWVWLJ+SegoeUI-SemiBold" w:hAnsi="Calibri" w:eastAsiaTheme="minorEastAsia" w:cstheme="minorBidi"/>
          <w:b/>
          <w:color w:val="3E3A39"/>
          <w:spacing w:val="766"/>
          <w:sz w:val="14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plated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into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48-well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tissue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culture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plates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(39,000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cells/mL)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allowed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48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h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followed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</w:p>
    <w:p>
      <w:pPr>
        <w:spacing w:before="35" w:after="0" w:line="236" w:lineRule="exact"/>
        <w:ind w:left="2050" w:right="0" w:firstLine="0"/>
        <w:jc w:val="left"/>
        <w:rPr>
          <w:rFonts w:ascii="JHOTPE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vehicle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Tenofovir.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Following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period,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viability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assessed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using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MTT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assay.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</w:p>
    <w:p>
      <w:pPr>
        <w:spacing w:before="35" w:after="0" w:line="236" w:lineRule="exact"/>
        <w:ind w:left="2050" w:right="0" w:firstLine="0"/>
        <w:jc w:val="left"/>
        <w:rPr>
          <w:rFonts w:ascii="JHOTPE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MTT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assay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relies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conversion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tetrazolium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dye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3-(4,5-dimethlthiazol-2-yl)-2,5-diphenyltetrazolium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bromide</w:t>
      </w:r>
    </w:p>
    <w:p>
      <w:pPr>
        <w:spacing w:before="35" w:after="0" w:line="236" w:lineRule="exact"/>
        <w:ind w:left="2050" w:right="0" w:firstLine="0"/>
        <w:jc w:val="left"/>
        <w:rPr>
          <w:rFonts w:ascii="JHOTPE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(MTT)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formazan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NAD(P)H-dependent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oxidoreductases.</w:t>
      </w:r>
    </w:p>
    <w:p>
      <w:pPr>
        <w:spacing w:before="35" w:after="0" w:line="236" w:lineRule="exact"/>
        <w:ind w:left="2050" w:right="0" w:firstLine="0"/>
        <w:jc w:val="left"/>
        <w:rPr>
          <w:rFonts w:ascii="JHOTPE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307" w:after="0" w:line="236" w:lineRule="exact"/>
        <w:ind w:left="260" w:right="0" w:firstLine="0"/>
        <w:jc w:val="left"/>
        <w:rPr>
          <w:rFonts w:ascii="JHOTPE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DWVW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Animal</w:t>
      </w:r>
      <w:r>
        <w:rPr>
          <w:rFonts w:ascii="DWVWLJ+SegoeUI-SemiBold" w:hAnsi="Calibri" w:eastAsiaTheme="minorEastAsia" w:cstheme="minorBidi"/>
          <w:b/>
          <w:color w:val="3E3A39"/>
          <w:spacing w:val="1203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Twenty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adult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chronic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WHV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carrier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woodchucks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stratified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equally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age,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sex,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body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weight,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serum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GGT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activity</w:t>
      </w:r>
    </w:p>
    <w:p>
      <w:pPr>
        <w:spacing w:before="35" w:after="0" w:line="236" w:lineRule="exact"/>
        <w:ind w:left="260" w:right="0" w:firstLine="0"/>
        <w:jc w:val="left"/>
        <w:rPr>
          <w:rFonts w:ascii="JHOTPE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DWVW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Administration</w:t>
      </w:r>
      <w:r>
        <w:rPr>
          <w:rFonts w:ascii="DWVW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WVWLJ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[4]</w:t>
      </w:r>
      <w:r>
        <w:rPr>
          <w:rFonts w:ascii="DWVWLJ+SegoeUI-SemiBold" w:hAnsi="Calibri" w:eastAsiaTheme="minorEastAsia" w:cstheme="minorBidi"/>
          <w:b/>
          <w:color w:val="3E3A39"/>
          <w:spacing w:val="385"/>
          <w:sz w:val="14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into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five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groups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consisting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four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animals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each: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(i)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Tenofovir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Disoproxil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Fumarate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15.0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once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per</w:t>
      </w:r>
    </w:p>
    <w:p>
      <w:pPr>
        <w:spacing w:before="35" w:after="0" w:line="236" w:lineRule="exact"/>
        <w:ind w:left="2050" w:right="0" w:firstLine="0"/>
        <w:jc w:val="left"/>
        <w:rPr>
          <w:rFonts w:ascii="JHOTPE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day,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(ii)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Tenofovir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Disoproxil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Fumarate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5.0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mg/kg/day,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(iii)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Tenofovir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Disoproxil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Fumarate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1.5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mg/kg/day,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(iv)</w:t>
      </w:r>
    </w:p>
    <w:p>
      <w:pPr>
        <w:spacing w:before="35" w:after="0" w:line="236" w:lineRule="exact"/>
        <w:ind w:left="2050" w:right="0" w:firstLine="0"/>
        <w:jc w:val="left"/>
        <w:rPr>
          <w:rFonts w:ascii="JHOTPE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Tenofovir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Disoproxil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Fumarate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0.5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mg/kg/day,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(v)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placebo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control.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woodchucks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treated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daily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4</w:t>
      </w:r>
    </w:p>
    <w:p>
      <w:pPr>
        <w:spacing w:before="35" w:after="0" w:line="236" w:lineRule="exact"/>
        <w:ind w:left="2050" w:right="0" w:firstLine="0"/>
        <w:jc w:val="left"/>
        <w:rPr>
          <w:rFonts w:ascii="JHOTPE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weeks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observed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additional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12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weeks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following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cessation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drug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treatment.</w:t>
      </w:r>
    </w:p>
    <w:p>
      <w:pPr>
        <w:spacing w:before="35" w:after="0" w:line="236" w:lineRule="exact"/>
        <w:ind w:left="2050" w:right="0" w:firstLine="0"/>
        <w:jc w:val="left"/>
        <w:rPr>
          <w:rFonts w:ascii="JHOTPE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HOTPE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818" w:after="0" w:line="248" w:lineRule="exact"/>
        <w:ind w:left="406" w:right="0" w:firstLine="0"/>
        <w:jc w:val="left"/>
        <w:rPr>
          <w:rFonts w:ascii="PICGPR+AdobeHeitiStd-Regular-Identity-H" w:hAnsi="Calibri"/>
          <w:color w:val="000000"/>
          <w:sz w:val="19"/>
          <w:szCs w:val="22"/>
          <w:lang w:val="en-US" w:eastAsia="en-US" w:bidi="ar-SA"/>
        </w:rPr>
      </w:pPr>
      <w:r>
        <w:rPr>
          <w:rFonts w:ascii="PICGPR+AdobeHeitiStd-Regular-Identity-H" w:hAnsi="PICGPR+AdobeHeitiStd-Regular-Identity-H" w:eastAsiaTheme="minorEastAsia" w:cs="PICGPR+AdobeHeitiStd-Regular-Identity-H"/>
          <w:color w:val="FFFFFF"/>
          <w:sz w:val="19"/>
          <w:szCs w:val="22"/>
          <w:lang w:val="en-US" w:eastAsia="en-US" w:bidi="ar-SA"/>
        </w:rPr>
        <w:t>户使⽤本产品发表的科研⽂献</w:t>
      </w:r>
    </w:p>
    <w:p>
      <w:pPr>
        <w:spacing w:before="885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80" w:right="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3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36" w:lineRule="exact"/>
        <w:ind w:left="250" w:right="0" w:firstLine="0"/>
        <w:jc w:val="left"/>
        <w:rPr>
          <w:rFonts w:ascii="SEPRBV+SegoeUI" w:hAnsi="Calibri"/>
          <w:color w:val="000000"/>
          <w:sz w:val="17"/>
          <w:szCs w:val="22"/>
          <w:lang w:val="en-US" w:eastAsia="en-US" w:bidi="ar-SA"/>
        </w:rPr>
      </w:pPr>
      <w:bookmarkStart w:id="4" w:name="br1_3"/>
      <w:bookmarkEnd w:id="4"/>
      <w:r>
        <w:rPr>
          <w:noProof/>
        </w:rPr>
        <w:pict>
          <v:shape id="_x0000_s1030" type="#_x0000_t75" style="width:553pt;height:3pt;margin-top:29pt;margin-left:29.5pt;mso-position-horizontal-relative:page;mso-position-vertical-relative:page;position:absolute;z-index:-251650048">
            <v:imagedata r:id="rId8" o:title=""/>
          </v:shape>
        </w:pict>
      </w:r>
      <w:bookmarkStart w:id="5" w:name="br1_4"/>
      <w:bookmarkEnd w:id="5"/>
      <w:r>
        <w:rPr>
          <w:noProof/>
        </w:rPr>
        <w:pict>
          <v:shape id="_x0000_s1031" type="#_x0000_t75" style="width:552.35pt;height:317.25pt;margin-top:34pt;margin-left:29.85pt;mso-position-horizontal-relative:page;mso-position-vertical-relative:page;position:absolute;z-index:-251651072">
            <v:imagedata r:id="rId9" o:title=""/>
          </v:shape>
        </w:pict>
      </w:r>
      <w:r>
        <w:rPr>
          <w:noProof/>
        </w:rPr>
        <w:pict>
          <v:shape id="_x0000_s1032" type="#_x0000_t75" style="width:3pt;height:3pt;margin-top:-1pt;margin-left:-1pt;mso-position-horizontal-relative:page;mso-position-vertical-relative:page;position:absolute;z-index:-251653120">
            <v:imagedata r:id="rId10" o:title=""/>
          </v:shape>
        </w:pict>
      </w:r>
      <w:r>
        <w:rPr>
          <w:noProof/>
        </w:rPr>
        <w:pict>
          <v:shape id="_x0000_s1033" type="#_x0000_t75" style="width:553pt;height:3pt;margin-top:751pt;margin-left:29.5pt;mso-position-horizontal-relative:page;mso-position-vertical-relative:page;position:absolute;z-index:-251656192">
            <v:imagedata r:id="rId5" o:title=""/>
          </v:shape>
        </w:pict>
      </w:r>
      <w:r>
        <w:rPr>
          <w:rFonts w:ascii="SEPRBV+SegoeUI" w:hAnsi="SEPRBV+SegoeUI" w:eastAsiaTheme="minorEastAsia" w:cs="SEPRBV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SEPRBV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NKHGG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Int</w:t>
      </w:r>
      <w:r>
        <w:rPr>
          <w:rFonts w:ascii="NKHGG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KHGG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J</w:t>
      </w:r>
      <w:r>
        <w:rPr>
          <w:rFonts w:ascii="NKHGG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KHGG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Antimicrob</w:t>
      </w:r>
      <w:r>
        <w:rPr>
          <w:rFonts w:ascii="NKHGG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KHGG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Agents</w:t>
      </w:r>
      <w:r>
        <w:rPr>
          <w:rFonts w:ascii="SEPR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SEPRB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2019</w:t>
      </w:r>
      <w:r>
        <w:rPr>
          <w:rFonts w:ascii="SEPRB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Dec;54(6):814-819.</w:t>
      </w:r>
    </w:p>
    <w:p>
      <w:pPr>
        <w:spacing w:before="104" w:after="0" w:line="236" w:lineRule="exact"/>
        <w:ind w:left="250" w:right="0" w:firstLine="0"/>
        <w:jc w:val="left"/>
        <w:rPr>
          <w:rFonts w:ascii="SEPRBV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SEPRBV+SegoeUI" w:hAnsi="SEPRBV+SegoeUI" w:eastAsiaTheme="minorEastAsia" w:cs="SEPRBV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SEPRBV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NKHGG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Sci</w:t>
      </w:r>
      <w:r>
        <w:rPr>
          <w:rFonts w:ascii="NKHGG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KHGG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Rep</w:t>
      </w:r>
      <w:r>
        <w:rPr>
          <w:rFonts w:ascii="SEPR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SEPRB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2019</w:t>
      </w:r>
      <w:r>
        <w:rPr>
          <w:rFonts w:ascii="SEPRB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Nov</w:t>
      </w:r>
      <w:r>
        <w:rPr>
          <w:rFonts w:ascii="SEPRB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20;9(1):17158.</w:t>
      </w:r>
    </w:p>
    <w:p>
      <w:pPr>
        <w:spacing w:before="104" w:after="0" w:line="236" w:lineRule="exact"/>
        <w:ind w:left="250" w:right="0" w:firstLine="0"/>
        <w:jc w:val="left"/>
        <w:rPr>
          <w:rFonts w:ascii="SEPRBV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SEPRBV+SegoeUI" w:hAnsi="SEPRBV+SegoeUI" w:eastAsiaTheme="minorEastAsia" w:cs="SEPRBV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SEPRBV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NKHGG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J</w:t>
      </w:r>
      <w:r>
        <w:rPr>
          <w:rFonts w:ascii="NKHGG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KHGG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Neuroimmune</w:t>
      </w:r>
      <w:r>
        <w:rPr>
          <w:rFonts w:ascii="NKHGG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KHGG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Pharmacol</w:t>
      </w:r>
      <w:r>
        <w:rPr>
          <w:rFonts w:ascii="SEPR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SEPRB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2019</w:t>
      </w:r>
      <w:r>
        <w:rPr>
          <w:rFonts w:ascii="SEPRB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Jul</w:t>
      </w:r>
      <w:r>
        <w:rPr>
          <w:rFonts w:ascii="SEPRB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23.</w:t>
      </w:r>
    </w:p>
    <w:p>
      <w:pPr>
        <w:spacing w:before="104" w:after="0" w:line="236" w:lineRule="exact"/>
        <w:ind w:left="250" w:right="0" w:firstLine="0"/>
        <w:jc w:val="left"/>
        <w:rPr>
          <w:rFonts w:ascii="SEPRBV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SEPRBV+SegoeUI" w:hAnsi="SEPRBV+SegoeUI" w:eastAsiaTheme="minorEastAsia" w:cs="SEPRBV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SEPRBV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NKHGG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J</w:t>
      </w:r>
      <w:r>
        <w:rPr>
          <w:rFonts w:ascii="NKHGG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KHGG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Neuroimmune</w:t>
      </w:r>
      <w:r>
        <w:rPr>
          <w:rFonts w:ascii="NKHGG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KHGG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Pharmacol</w:t>
      </w:r>
      <w:r>
        <w:rPr>
          <w:rFonts w:ascii="SEPR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SEPRB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2017</w:t>
      </w:r>
      <w:r>
        <w:rPr>
          <w:rFonts w:ascii="SEPRB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Dec;12(4):682-692.</w:t>
      </w:r>
    </w:p>
    <w:p>
      <w:pPr>
        <w:spacing w:before="104" w:after="0" w:line="236" w:lineRule="exact"/>
        <w:ind w:left="250" w:right="0" w:firstLine="0"/>
        <w:jc w:val="left"/>
        <w:rPr>
          <w:rFonts w:ascii="SEPRBV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SEPRBV+SegoeUI" w:hAnsi="SEPRBV+SegoeUI" w:eastAsiaTheme="minorEastAsia" w:cs="SEPRBV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SEPRBV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NKHGG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Department</w:t>
      </w:r>
      <w:r>
        <w:rPr>
          <w:rFonts w:ascii="NKHGG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KHGG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od</w:t>
      </w:r>
      <w:r>
        <w:rPr>
          <w:rFonts w:ascii="NKHGG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KHGG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Analytical</w:t>
      </w:r>
      <w:r>
        <w:rPr>
          <w:rFonts w:ascii="NKHGG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KHGG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Chemistry,</w:t>
      </w:r>
      <w:r>
        <w:rPr>
          <w:rFonts w:ascii="NKHGG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KHGG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Charles</w:t>
      </w:r>
      <w:r>
        <w:rPr>
          <w:rFonts w:ascii="NKHGG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KHGG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University</w:t>
      </w:r>
      <w:r>
        <w:rPr>
          <w:rFonts w:ascii="SEPR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SEPRB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2019</w:t>
      </w:r>
      <w:r>
        <w:rPr>
          <w:rFonts w:ascii="SEPRB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Jun.</w:t>
      </w:r>
    </w:p>
    <w:p>
      <w:pPr>
        <w:spacing w:before="330" w:after="0" w:line="236" w:lineRule="exact"/>
        <w:ind w:left="0" w:right="0" w:firstLine="0"/>
        <w:jc w:val="left"/>
        <w:rPr>
          <w:rFonts w:ascii="SEPRBV+SegoeUI" w:hAnsi="Calibri"/>
          <w:color w:val="000000"/>
          <w:sz w:val="17"/>
          <w:szCs w:val="22"/>
          <w:u w:val="single"/>
          <w:lang w:val="en-US" w:eastAsia="en-US" w:bidi="ar-SA"/>
        </w:rPr>
      </w:pPr>
      <w:r>
        <w:rPr>
          <w:rFonts w:ascii="SEPR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See</w:t>
      </w:r>
      <w:r>
        <w:rPr>
          <w:rFonts w:ascii="SEPRB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more</w:t>
      </w:r>
      <w:r>
        <w:rPr>
          <w:rFonts w:ascii="SEPRB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customer</w:t>
      </w:r>
      <w:r>
        <w:rPr>
          <w:rFonts w:ascii="SEPRB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validations</w:t>
      </w:r>
      <w:r>
        <w:rPr>
          <w:rFonts w:ascii="SEPRB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SEPRB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hyperlink r:id="rId11" w:history="1">
        <w:r>
          <w:rPr>
            <w:rFonts w:ascii="SEPRBV+SegoeUI" w:hAnsi="Calibri" w:eastAsiaTheme="minorEastAsia" w:cstheme="minorBidi"/>
            <w:color w:val="3E3A39"/>
            <w:sz w:val="17"/>
            <w:szCs w:val="22"/>
            <w:u w:val="single"/>
            <w:lang w:val="en-US" w:eastAsia="en-US" w:bidi="ar-SA"/>
          </w:rPr>
          <w:t>www.MedChemExpress.cn</w:t>
        </w:r>
      </w:hyperlink>
    </w:p>
    <w:p>
      <w:pPr>
        <w:spacing w:before="524" w:after="0" w:line="276" w:lineRule="exact"/>
        <w:ind w:left="31" w:right="0" w:firstLine="0"/>
        <w:jc w:val="left"/>
        <w:rPr>
          <w:rFonts w:ascii="NKHGGD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NKHGGD+SegoeUI-SemiBold" w:hAnsi="Calibri" w:eastAsiaTheme="minorEastAsia" w:cstheme="minorBidi"/>
          <w:b/>
          <w:color w:val="6A528F"/>
          <w:sz w:val="20"/>
          <w:szCs w:val="22"/>
          <w:lang w:val="en-US" w:eastAsia="en-US" w:bidi="ar-SA"/>
        </w:rPr>
        <w:t>REFERENCES</w:t>
      </w:r>
    </w:p>
    <w:p>
      <w:pPr>
        <w:spacing w:before="150" w:after="0" w:line="223" w:lineRule="exact"/>
        <w:ind w:left="0" w:right="0" w:firstLine="0"/>
        <w:jc w:val="left"/>
        <w:rPr>
          <w:rFonts w:ascii="SEPRBV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[1].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Murphy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RA,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Establishment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HK-2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Cells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as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Relevant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Model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to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Study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Tenofovir-Induced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Cytotoxicity.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Int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J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Mol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Sci.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2017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Mar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1;18(3)</w:t>
      </w:r>
    </w:p>
    <w:p>
      <w:pPr>
        <w:spacing w:before="203" w:after="0" w:line="223" w:lineRule="exact"/>
        <w:ind w:left="0" w:right="0" w:firstLine="0"/>
        <w:jc w:val="left"/>
        <w:rPr>
          <w:rFonts w:ascii="SEPRBV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[2].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Musumeci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G,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M48U1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Tenofovir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combination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synergistically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inhibits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HIV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infection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activated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PBMCs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human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cervicovaginal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histocultures.</w:t>
      </w:r>
    </w:p>
    <w:p>
      <w:pPr>
        <w:spacing w:before="32" w:after="0" w:line="223" w:lineRule="exact"/>
        <w:ind w:left="0" w:right="0" w:firstLine="0"/>
        <w:jc w:val="left"/>
        <w:rPr>
          <w:rFonts w:ascii="SEPRBV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Sci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Rep.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2017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Feb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1;7:41018</w:t>
      </w:r>
    </w:p>
    <w:p>
      <w:pPr>
        <w:spacing w:before="203" w:after="0" w:line="223" w:lineRule="exact"/>
        <w:ind w:left="0" w:right="0" w:firstLine="0"/>
        <w:jc w:val="left"/>
        <w:rPr>
          <w:rFonts w:ascii="SEPRBV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[3].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Wahl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A,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Predicting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HIV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Pre-exposure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Prophylaxis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Efficacy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for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Women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using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Preclinical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Pharmacokinetic-Pharmacodynamic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Vivo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Model.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Sci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Rep.</w:t>
      </w:r>
    </w:p>
    <w:p>
      <w:pPr>
        <w:spacing w:before="32" w:after="0" w:line="223" w:lineRule="exact"/>
        <w:ind w:left="0" w:right="0" w:firstLine="0"/>
        <w:jc w:val="left"/>
        <w:rPr>
          <w:rFonts w:ascii="SEPRBV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2017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Feb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1;7:41098</w:t>
      </w:r>
    </w:p>
    <w:p>
      <w:pPr>
        <w:spacing w:before="170" w:after="0" w:line="255" w:lineRule="exact"/>
        <w:ind w:left="0" w:right="0" w:firstLine="0"/>
        <w:jc w:val="left"/>
        <w:rPr>
          <w:rFonts w:ascii="SEPRBV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[4].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Menne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S,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Cote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PJ,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Korba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BE,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Antiviral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effect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oral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administration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tenofovir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disoproxil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fumarate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woodchucks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with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chronic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woodchuck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hepatitis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SEPRBV+SegoeUI" w:eastAsiaTheme="minorEastAsia" w:cs="SEPRBV+SegoeUI"/>
          <w:color w:val="3E3A39"/>
          <w:sz w:val="16"/>
          <w:szCs w:val="22"/>
          <w:lang w:val="en-US" w:eastAsia="en-US" w:bidi="ar-SA"/>
        </w:rPr>
        <w:t>virus</w:t>
      </w:r>
      <w:r>
        <w:rPr>
          <w:rFonts w:ascii="SEPRBV+SegoeUI" w:hAnsi="SEPRBV+SegoeUI" w:eastAsiaTheme="minorEastAsia" w:cs="SEPRBV+SegoeUI"/>
          <w:color w:val="3E3A39"/>
          <w:sz w:val="16"/>
          <w:szCs w:val="22"/>
          <w:lang w:val="en-US" w:eastAsia="en-US" w:bidi="ar-SA"/>
        </w:rPr>
        <w:cr/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infection.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Antimicrob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Agents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Chemother.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2005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EPR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Jul;49(7):2720-8.</w:t>
      </w:r>
    </w:p>
    <w:p>
      <w:pPr>
        <w:spacing w:before="428" w:after="0" w:line="257" w:lineRule="exact"/>
        <w:ind w:left="0" w:right="0" w:firstLine="0"/>
        <w:jc w:val="left"/>
        <w:rPr>
          <w:rFonts w:ascii="SEPRBV+SegoeUI" w:hAnsi="Calibri"/>
          <w:color w:val="000000"/>
          <w:sz w:val="19"/>
          <w:szCs w:val="22"/>
          <w:lang w:val="en-US" w:eastAsia="en-US" w:bidi="ar-SA"/>
        </w:rPr>
      </w:pPr>
      <w:r>
        <w:rPr>
          <w:rFonts w:ascii="SEPRBV+SegoeUI" w:hAnsi="Calibri" w:eastAsiaTheme="minorEastAsia" w:cstheme="minorBidi"/>
          <w:color w:val="FFFFFF"/>
          <w:spacing w:val="-2"/>
          <w:sz w:val="19"/>
          <w:szCs w:val="22"/>
          <w:lang w:val="en-US" w:eastAsia="en-US" w:bidi="ar-SA"/>
        </w:rPr>
        <w:t>McePdfHeight</w:t>
      </w:r>
    </w:p>
    <w:p>
      <w:pPr>
        <w:spacing w:before="6617" w:after="0" w:line="236" w:lineRule="exact"/>
        <w:ind w:left="1918" w:right="0" w:firstLine="0"/>
        <w:jc w:val="left"/>
        <w:rPr>
          <w:rFonts w:ascii="VGHNIV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VGHN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Caution:</w:t>
      </w:r>
      <w:r>
        <w:rPr>
          <w:rFonts w:ascii="VGHN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VGHN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Product</w:t>
      </w:r>
      <w:r>
        <w:rPr>
          <w:rFonts w:ascii="VGHN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VGHN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has</w:t>
      </w:r>
      <w:r>
        <w:rPr>
          <w:rFonts w:ascii="VGHN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VGHN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not</w:t>
      </w:r>
      <w:r>
        <w:rPr>
          <w:rFonts w:ascii="VGHN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VGHN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been</w:t>
      </w:r>
      <w:r>
        <w:rPr>
          <w:rFonts w:ascii="VGHN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VGHN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fully</w:t>
      </w:r>
      <w:r>
        <w:rPr>
          <w:rFonts w:ascii="VGHN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VGHN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validated</w:t>
      </w:r>
      <w:r>
        <w:rPr>
          <w:rFonts w:ascii="VGHN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VGHN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VGHN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VGHN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medical</w:t>
      </w:r>
      <w:r>
        <w:rPr>
          <w:rFonts w:ascii="VGHN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VGHN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applications.</w:t>
      </w:r>
      <w:r>
        <w:rPr>
          <w:rFonts w:ascii="VGHN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VGHN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VGHN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VGHN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research</w:t>
      </w:r>
      <w:r>
        <w:rPr>
          <w:rFonts w:ascii="VGHN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VGHN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use</w:t>
      </w:r>
      <w:r>
        <w:rPr>
          <w:rFonts w:ascii="VGHN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VGHN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only.</w:t>
      </w:r>
    </w:p>
    <w:p>
      <w:pPr>
        <w:spacing w:before="104" w:after="0" w:line="236" w:lineRule="exact"/>
        <w:ind w:left="1378" w:right="0" w:firstLine="0"/>
        <w:jc w:val="left"/>
        <w:rPr>
          <w:rFonts w:ascii="FMLKT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MLKTW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Tel:</w:t>
      </w:r>
      <w:r>
        <w:rPr>
          <w:rFonts w:ascii="FMLKTW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FMLKTW+SegoeUI" w:hAnsi="Calibri" w:eastAsiaTheme="minorEastAsia" w:cstheme="minorBidi"/>
          <w:color w:val="818386"/>
          <w:sz w:val="17"/>
          <w:szCs w:val="22"/>
          <w:lang w:val="en-US" w:eastAsia="en-US" w:bidi="ar-SA"/>
        </w:rPr>
        <w:t>400-820-3792;</w:t>
      </w:r>
      <w:r>
        <w:rPr>
          <w:rFonts w:ascii="FMLKTW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FMLKTW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021-58955995</w:t>
      </w:r>
      <w:r>
        <w:rPr>
          <w:rFonts w:ascii="FMLKTW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FMLKTW+SegoeUI" w:hAnsi="Calibri" w:eastAsiaTheme="minorEastAsia" w:cstheme="minorBidi"/>
          <w:color w:val="818386"/>
          <w:sz w:val="17"/>
          <w:szCs w:val="22"/>
          <w:lang w:val="en-US" w:eastAsia="en-US" w:bidi="ar-SA"/>
        </w:rPr>
        <w:t>Fax:</w:t>
      </w:r>
      <w:r>
        <w:rPr>
          <w:rFonts w:ascii="FMLKTW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FMLKTW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021-53700325</w:t>
      </w:r>
      <w:r>
        <w:rPr>
          <w:rFonts w:ascii="FMLKTW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FMLKTW+SegoeUI" w:hAnsi="Calibri" w:eastAsiaTheme="minorEastAsia" w:cstheme="minorBidi"/>
          <w:color w:val="818386"/>
          <w:sz w:val="17"/>
          <w:szCs w:val="22"/>
          <w:lang w:val="en-US" w:eastAsia="en-US" w:bidi="ar-SA"/>
        </w:rPr>
        <w:t>E-mail:</w:t>
      </w:r>
      <w:r>
        <w:rPr>
          <w:rFonts w:ascii="FMLKTW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FMLKTW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tech@MedChemExpress.cn</w:t>
      </w:r>
    </w:p>
    <w:p>
      <w:pPr>
        <w:spacing w:before="26" w:after="686" w:line="244" w:lineRule="exact"/>
        <w:ind w:left="3581" w:right="0" w:firstLine="0"/>
        <w:jc w:val="left"/>
        <w:rPr>
          <w:rFonts w:hAnsi="Calibri"/>
          <w:color w:val="000000"/>
          <w:sz w:val="17"/>
          <w:szCs w:val="22"/>
          <w:lang w:val="en-US" w:eastAsia="en-US" w:bidi="ar-SA"/>
        </w:rPr>
      </w:pPr>
      <w:r>
        <w:rPr>
          <w:rFonts w:ascii="FMLKTW+SegoeUI" w:hAnsi="Calibri" w:eastAsiaTheme="minorEastAsia" w:cstheme="minorBidi"/>
          <w:color w:val="818386"/>
          <w:sz w:val="17"/>
          <w:szCs w:val="22"/>
          <w:lang w:val="en-US" w:eastAsia="en-US" w:bidi="ar-SA"/>
        </w:rPr>
        <w:t>Master</w:t>
      </w:r>
      <w:r>
        <w:rPr>
          <w:rFonts w:ascii="FMLKTW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FMLKTW+SegoeUI" w:hAnsi="Calibri" w:eastAsiaTheme="minorEastAsia" w:cstheme="minorBidi"/>
          <w:color w:val="818386"/>
          <w:sz w:val="17"/>
          <w:szCs w:val="22"/>
          <w:lang w:val="en-US" w:eastAsia="en-US" w:bidi="ar-SA"/>
        </w:rPr>
        <w:t>of</w:t>
      </w:r>
      <w:r>
        <w:rPr>
          <w:rFonts w:ascii="FMLKTW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FMLKTW+SegoeUI" w:hAnsi="Calibri" w:eastAsiaTheme="minorEastAsia" w:cstheme="minorBidi"/>
          <w:color w:val="818386"/>
          <w:sz w:val="17"/>
          <w:szCs w:val="22"/>
          <w:lang w:val="en-US" w:eastAsia="en-US" w:bidi="ar-SA"/>
        </w:rPr>
        <w:t>Small</w:t>
      </w:r>
      <w:r>
        <w:rPr>
          <w:rFonts w:ascii="FMLKTW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FMLKTW+SegoeUI" w:hAnsi="Calibri" w:eastAsiaTheme="minorEastAsia" w:cstheme="minorBidi"/>
          <w:color w:val="818386"/>
          <w:sz w:val="17"/>
          <w:szCs w:val="22"/>
          <w:lang w:val="en-US" w:eastAsia="en-US" w:bidi="ar-SA"/>
        </w:rPr>
        <w:t>Molecules</w:t>
      </w:r>
      <w:r>
        <w:rPr>
          <w:rFonts w:ascii="FMLKTW+SegoeUI" w:hAnsi="Calibri" w:eastAsiaTheme="minorEastAsia" w:cstheme="minorBidi"/>
          <w:color w:val="818386"/>
          <w:spacing w:val="46"/>
          <w:sz w:val="17"/>
          <w:szCs w:val="22"/>
          <w:lang w:val="en-US" w:eastAsia="en-US" w:bidi="ar-SA"/>
        </w:rPr>
        <w:t xml:space="preserve"> </w:t>
      </w:r>
      <w:r>
        <w:rPr>
          <w:rFonts w:ascii="FMLKTW+SegoeUI" w:hAnsi="FMLKTW+SegoeUI" w:eastAsiaTheme="minorEastAsia" w:cs="FMLKTW+SegoeUI"/>
          <w:color w:val="818386"/>
          <w:sz w:val="17"/>
          <w:szCs w:val="22"/>
          <w:lang w:val="en-US" w:eastAsia="en-US" w:bidi="ar-SA"/>
        </w:rPr>
        <w:t>—</w:t>
      </w:r>
      <w:r>
        <w:rPr>
          <w:rFonts w:ascii="FMLKTW+SegoeUI" w:hAnsi="Calibri" w:eastAsiaTheme="minorEastAsia" w:cstheme="minorBidi"/>
          <w:color w:val="818386"/>
          <w:spacing w:val="51"/>
          <w:sz w:val="17"/>
          <w:szCs w:val="22"/>
          <w:lang w:val="en-US" w:eastAsia="en-US" w:bidi="ar-SA"/>
        </w:rPr>
        <w:t xml:space="preserve"> </w:t>
      </w:r>
      <w:r>
        <w:rPr>
          <w:rFonts w:ascii="ECMJPV+AdobeHeitiStd-Regular-Identity-H" w:hAnsi="ECMJPV+AdobeHeitiStd-Regular-Identity-H" w:eastAsiaTheme="minorEastAsia" w:cs="ECMJPV+AdobeHeitiStd-Regular-Identity-H"/>
          <w:color w:val="818386"/>
          <w:sz w:val="17"/>
          <w:szCs w:val="22"/>
          <w:lang w:val="en-US" w:eastAsia="en-US" w:bidi="ar-SA"/>
        </w:rPr>
        <w:t>您⾝边的抑制剂⼤师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1116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13"/>
          <w:jc w:val="left"/>
        </w:trPr>
        <w:tc>
          <w:tcPr>
            <w:tcW w:w="1111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Segoe UI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Page</w:t>
            </w:r>
            <w:r>
              <w:rPr>
                <w:rFonts w:ascii="Segoe UI" w:hAnsi="Calibri" w:eastAsiaTheme="minorEastAsia" w:cstheme="minorBidi"/>
                <w:color w:val="808080"/>
                <w:spacing w:val="43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3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of</w:t>
            </w:r>
            <w:r>
              <w:rPr>
                <w:rFonts w:ascii="Segoe UI" w:hAnsi="Calibri" w:eastAsiaTheme="minorEastAsia" w:cstheme="minorBidi"/>
                <w:color w:val="808080"/>
                <w:spacing w:val="44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3</w:t>
            </w:r>
            <w:r>
              <w:rPr>
                <w:rFonts w:ascii="Segoe UI" w:hAnsi="Calibri" w:eastAsiaTheme="minorEastAsia" w:cstheme="minorBidi"/>
                <w:color w:val="808080"/>
                <w:spacing w:val="827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www.MedChemExpress.cn</w:t>
            </w:r>
          </w:p>
        </w:tc>
      </w:tr>
    </w:tbl>
    <w:p>
      <w:pPr>
        <w:rPr>
          <w:lang w:val="en-US" w:eastAsia="en-US" w:bidi="ar-SA"/>
        </w:rPr>
      </w:pPr>
    </w:p>
    <w:sectPr>
      <w:pgSz w:w="12240" w:h="15840"/>
      <w:pgMar w:top="928" w:right="100" w:bottom="0" w:left="602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INDQJI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DDEMKR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QQIHJK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Segoe U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PICGPR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JHOTPE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DWVWLJ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SEPRBV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NKHGGD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VGHNIV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FMLKTW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ECMJPV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hyperlink" Target="www.MedChemExpress.cn" TargetMode="Externa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