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42AAB8">
      <w:pPr>
        <w:pStyle w:val="167"/>
        <w:rPr>
          <w:lang w:eastAsia="zh-CN"/>
        </w:rPr>
      </w:pPr>
      <w:bookmarkStart w:id="0" w:name="_Toc517262917"/>
      <w:bookmarkStart w:id="1" w:name="_Toc453597319"/>
      <w:bookmarkStart w:id="2" w:name="_Toc438987549"/>
      <w:bookmarkStart w:id="3" w:name="_Toc481801204"/>
      <w:bookmarkStart w:id="4" w:name="OLE_LINK39"/>
      <w:bookmarkStart w:id="5" w:name="OLE_LINK24"/>
      <w:bookmarkStart w:id="6" w:name="OLE_LINK40"/>
      <w:bookmarkStart w:id="7" w:name="_Toc415143481"/>
      <w:bookmarkStart w:id="8" w:name="OLE_LINK13"/>
      <w:bookmarkStart w:id="9" w:name="_Toc415818939"/>
      <w:bookmarkStart w:id="10" w:name="OLE_LINK15"/>
      <w:bookmarkStart w:id="11" w:name="_Toc415142861"/>
      <w:bookmarkStart w:id="12" w:name="_Toc418070112"/>
      <w:r>
        <w:drawing>
          <wp:inline distT="0" distB="0" distL="114300" distR="114300">
            <wp:extent cx="6182995" cy="4344035"/>
            <wp:effectExtent l="0" t="0" r="8255"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2995" cy="4344035"/>
                    </a:xfrm>
                    <a:prstGeom prst="rect">
                      <a:avLst/>
                    </a:prstGeom>
                    <a:noFill/>
                    <a:ln>
                      <a:noFill/>
                    </a:ln>
                  </pic:spPr>
                </pic:pic>
              </a:graphicData>
            </a:graphic>
          </wp:inline>
        </w:drawing>
      </w:r>
      <w:r>
        <w:rPr>
          <w:lang w:eastAsia="zh-CN"/>
        </w:rPr>
        <w:t>TFLN晶圆</w:t>
      </w:r>
      <w:r>
        <w:rPr>
          <w:rFonts w:hint="eastAsia"/>
          <w:lang w:eastAsia="zh-CN"/>
        </w:rPr>
        <w:t>产品描述</w:t>
      </w:r>
      <w:r>
        <w:rPr>
          <w:lang w:eastAsia="zh-CN"/>
        </w:rPr>
        <w:t xml:space="preserve"> </w:t>
      </w:r>
    </w:p>
    <w:p w14:paraId="56A450B8">
      <w:pPr>
        <w:pStyle w:val="145"/>
        <w:rPr>
          <w:lang w:eastAsia="zh-CN"/>
        </w:rPr>
      </w:pPr>
      <w:r>
        <w:rPr>
          <w:lang w:eastAsia="zh-CN"/>
        </w:rPr>
        <w:t>TFLN</w:t>
      </w:r>
      <w:r>
        <w:rPr>
          <w:rFonts w:hint="eastAsia"/>
          <w:lang w:eastAsia="zh-CN"/>
        </w:rPr>
        <w:t>（薄膜铌酸锂）晶圆是指将纳米级薄层铌酸锂</w:t>
      </w:r>
      <w:r>
        <w:rPr>
          <w:lang w:eastAsia="zh-CN"/>
        </w:rPr>
        <w:t xml:space="preserve"> (LiNbO₃) </w:t>
      </w:r>
      <w:r>
        <w:rPr>
          <w:rFonts w:hint="eastAsia"/>
          <w:lang w:eastAsia="zh-CN"/>
        </w:rPr>
        <w:t>键合到绝缘体（通常是二氧化硅）上，并由硅基片支撑的工程化基底。这些晶圆保留了块体铌酸锂优异的光学、电光和非线性特性，同时为光子器件制造提供了卓越的可扩展性、集成度和性能均匀性。</w:t>
      </w:r>
    </w:p>
    <w:p w14:paraId="6793B8F2">
      <w:pPr>
        <w:pStyle w:val="145"/>
        <w:rPr>
          <w:lang w:eastAsia="zh-CN"/>
        </w:rPr>
      </w:pPr>
      <w:r>
        <w:rPr>
          <w:lang w:eastAsia="zh-CN"/>
        </w:rPr>
        <w:t xml:space="preserve">TFLN </w:t>
      </w:r>
      <w:r>
        <w:rPr>
          <w:rFonts w:hint="eastAsia"/>
          <w:lang w:eastAsia="zh-CN"/>
        </w:rPr>
        <w:t>晶圆是制造下一代光子元件的基础材料，包括高速光调制器（相位和强度）、变频器和量子光子器件。与传统的块体</w:t>
      </w:r>
      <w:r>
        <w:rPr>
          <w:lang w:eastAsia="zh-CN"/>
        </w:rPr>
        <w:t xml:space="preserve"> LiNbO₃ </w:t>
      </w:r>
      <w:r>
        <w:rPr>
          <w:rFonts w:hint="eastAsia"/>
          <w:lang w:eastAsia="zh-CN"/>
        </w:rPr>
        <w:t>基底相比，</w:t>
      </w:r>
      <w:r>
        <w:rPr>
          <w:lang w:eastAsia="zh-CN"/>
        </w:rPr>
        <w:t xml:space="preserve">TFLN </w:t>
      </w:r>
      <w:r>
        <w:rPr>
          <w:rFonts w:hint="eastAsia"/>
          <w:lang w:eastAsia="zh-CN"/>
        </w:rPr>
        <w:t>晶圆的光损耗更低、光限制更严格，并且与光子集成电路</w:t>
      </w:r>
      <w:r>
        <w:rPr>
          <w:lang w:eastAsia="zh-CN"/>
        </w:rPr>
        <w:t xml:space="preserve"> (PIC) </w:t>
      </w:r>
      <w:r>
        <w:rPr>
          <w:rFonts w:hint="eastAsia"/>
          <w:lang w:eastAsia="zh-CN"/>
        </w:rPr>
        <w:t>平台兼容。</w:t>
      </w:r>
      <w:r>
        <w:rPr>
          <w:lang w:eastAsia="zh-CN"/>
        </w:rPr>
        <w:t xml:space="preserve"> TFLN</w:t>
      </w:r>
      <w:r>
        <w:rPr>
          <w:rFonts w:hint="eastAsia"/>
          <w:lang w:eastAsia="zh-CN"/>
        </w:rPr>
        <w:t>晶圆市场仍在发展中，全球少数供应商为光通信、激光雷达和量子技术的研究和商业应用提供</w:t>
      </w:r>
      <w:r>
        <w:rPr>
          <w:lang w:eastAsia="zh-CN"/>
        </w:rPr>
        <w:t>4</w:t>
      </w:r>
      <w:r>
        <w:rPr>
          <w:rFonts w:hint="eastAsia"/>
          <w:lang w:eastAsia="zh-CN"/>
        </w:rPr>
        <w:t>英寸、</w:t>
      </w:r>
      <w:r>
        <w:rPr>
          <w:lang w:eastAsia="zh-CN"/>
        </w:rPr>
        <w:t>6</w:t>
      </w:r>
      <w:r>
        <w:rPr>
          <w:rFonts w:hint="eastAsia"/>
          <w:lang w:eastAsia="zh-CN"/>
        </w:rPr>
        <w:t>英寸和新兴的</w:t>
      </w:r>
      <w:r>
        <w:rPr>
          <w:lang w:eastAsia="zh-CN"/>
        </w:rPr>
        <w:t>8</w:t>
      </w:r>
      <w:r>
        <w:rPr>
          <w:rFonts w:hint="eastAsia"/>
          <w:lang w:eastAsia="zh-CN"/>
        </w:rPr>
        <w:t>英寸晶圆。</w:t>
      </w:r>
    </w:p>
    <w:p w14:paraId="76653485">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TFLN晶圆产品图片</w:t>
      </w:r>
    </w:p>
    <w:p w14:paraId="30F4A704">
      <w:r>
        <w:drawing>
          <wp:inline distT="0" distB="0" distL="0" distR="0">
            <wp:extent cx="3549015" cy="2114550"/>
            <wp:effectExtent l="0" t="0" r="0" b="0"/>
            <wp:docPr id="11908442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844257" name="图片 1"/>
                    <pic:cNvPicPr>
                      <a:picLocks noChangeAspect="1"/>
                    </pic:cNvPicPr>
                  </pic:nvPicPr>
                  <pic:blipFill>
                    <a:blip r:embed="rId10"/>
                    <a:stretch>
                      <a:fillRect/>
                    </a:stretch>
                  </pic:blipFill>
                  <pic:spPr>
                    <a:xfrm>
                      <a:off x="0" y="0"/>
                      <a:ext cx="3565455" cy="2124003"/>
                    </a:xfrm>
                    <a:prstGeom prst="rect">
                      <a:avLst/>
                    </a:prstGeom>
                  </pic:spPr>
                </pic:pic>
              </a:graphicData>
            </a:graphic>
          </wp:inline>
        </w:drawing>
      </w:r>
    </w:p>
    <w:p w14:paraId="3833D383">
      <w:pPr>
        <w:widowControl/>
        <w:topLinePunct w:val="0"/>
        <w:spacing w:after="0"/>
        <w:jc w:val="left"/>
      </w:pPr>
      <w:r>
        <w:br w:type="page"/>
      </w:r>
    </w:p>
    <w:p w14:paraId="525D5715">
      <w:pPr>
        <w:pStyle w:val="167"/>
        <w:rPr>
          <w:lang w:eastAsia="zh-CN"/>
        </w:rPr>
      </w:pPr>
      <w:r>
        <w:rPr>
          <w:lang w:eastAsia="zh-CN"/>
        </w:rPr>
        <w:t>TFLN晶圆</w:t>
      </w:r>
      <w:r>
        <w:rPr>
          <w:rFonts w:hint="eastAsia"/>
          <w:lang w:eastAsia="zh-CN"/>
        </w:rPr>
        <w:t>全球市场总体规模</w:t>
      </w:r>
    </w:p>
    <w:p w14:paraId="4B59A5FE">
      <w:pPr>
        <w:pStyle w:val="145"/>
        <w:rPr>
          <w:lang w:val="en-US" w:eastAsia="zh-CN"/>
        </w:rPr>
      </w:pPr>
      <w:r>
        <w:rPr>
          <w:rFonts w:hint="eastAsia"/>
          <w:lang w:val="en-US" w:eastAsia="zh-CN"/>
        </w:rPr>
        <w:t>据QYResearch调研团队最新报告“全球TFLN晶圆市场报告2025-2031”显示，预计2031年全球TFLN晶圆市场规模将达到15.1亿美元，未来几年年复合增长率CAGR为43.9%。</w:t>
      </w:r>
    </w:p>
    <w:p w14:paraId="3F6C272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TFLN晶圆</w:t>
      </w:r>
      <w:r>
        <w:rPr>
          <w:rFonts w:hint="eastAsia"/>
          <w:lang w:eastAsia="zh-CN"/>
        </w:rPr>
        <w:t>，全球市场总体规模</w:t>
      </w:r>
    </w:p>
    <w:p w14:paraId="33261207">
      <w:pPr>
        <w:pStyle w:val="145"/>
      </w:pPr>
      <w:r>
        <w:drawing>
          <wp:inline distT="0" distB="0" distL="0" distR="0">
            <wp:extent cx="6188710" cy="3028950"/>
            <wp:effectExtent l="0" t="0" r="2540" b="0"/>
            <wp:docPr id="1283634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48964BA">
      <w:pPr>
        <w:pStyle w:val="143"/>
        <w:rPr>
          <w:lang w:eastAsia="zh-CN"/>
        </w:rPr>
      </w:pPr>
      <w:r>
        <w:rPr>
          <w:rFonts w:hint="eastAsia"/>
          <w:lang w:eastAsia="zh-CN"/>
        </w:rPr>
        <w:t>如上图表/数据，摘自QYResearch最新报告“全球</w:t>
      </w:r>
      <w:r>
        <w:rPr>
          <w:lang w:eastAsia="zh-CN"/>
        </w:rPr>
        <w:t>TFLN晶圆</w:t>
      </w:r>
      <w:r>
        <w:rPr>
          <w:rFonts w:hint="eastAsia"/>
          <w:lang w:eastAsia="zh-CN"/>
        </w:rPr>
        <w:t>市场研究报告2025-2031”</w:t>
      </w:r>
      <w:r>
        <w:rPr>
          <w:lang w:eastAsia="zh-CN"/>
        </w:rPr>
        <w:t>.</w:t>
      </w:r>
    </w:p>
    <w:p w14:paraId="3BBD27B3">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14:paraId="720E31E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w:t>
      </w:r>
      <w:r>
        <w:rPr>
          <w:lang w:eastAsia="zh-CN"/>
        </w:rPr>
        <w:t>TFLN晶圆</w:t>
      </w:r>
      <w:r>
        <w:rPr>
          <w:rFonts w:hint="eastAsia"/>
          <w:lang w:eastAsia="zh-CN"/>
        </w:rPr>
        <w:t>市场前7强生产商排名及市场占有率（基于2</w:t>
      </w:r>
      <w:r>
        <w:rPr>
          <w:lang w:eastAsia="zh-CN"/>
        </w:rPr>
        <w:t>02</w:t>
      </w:r>
      <w:r>
        <w:rPr>
          <w:rFonts w:hint="eastAsia"/>
          <w:lang w:eastAsia="zh-CN"/>
        </w:rPr>
        <w:t>4年调研数据；目前最新数据以本公司最新调研数据为准）</w:t>
      </w:r>
    </w:p>
    <w:p w14:paraId="605AEC4F">
      <w:pPr>
        <w:widowControl/>
        <w:topLinePunct w:val="0"/>
        <w:spacing w:after="0"/>
        <w:jc w:val="center"/>
      </w:pPr>
      <w:r>
        <w:drawing>
          <wp:inline distT="0" distB="0" distL="0" distR="0">
            <wp:extent cx="5991225" cy="3362325"/>
            <wp:effectExtent l="0" t="0" r="0" b="0"/>
            <wp:docPr id="203453952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3183DE2">
      <w:pPr>
        <w:pStyle w:val="143"/>
        <w:rPr>
          <w:lang w:eastAsia="zh-CN"/>
        </w:rPr>
      </w:pPr>
      <w:r>
        <w:rPr>
          <w:rFonts w:hint="eastAsia"/>
          <w:lang w:eastAsia="zh-CN"/>
        </w:rPr>
        <w:t>如上图表/数据，摘自QYResearch报告“全球</w:t>
      </w:r>
      <w:r>
        <w:rPr>
          <w:lang w:eastAsia="zh-CN"/>
        </w:rPr>
        <w:t>TFLN晶圆</w:t>
      </w:r>
      <w:r>
        <w:rPr>
          <w:rFonts w:hint="eastAsia"/>
          <w:lang w:eastAsia="zh-CN"/>
        </w:rPr>
        <w:t>市场研究报告2025-2031”，排名基于2</w:t>
      </w:r>
      <w:r>
        <w:rPr>
          <w:lang w:eastAsia="zh-CN"/>
        </w:rPr>
        <w:t>02</w:t>
      </w:r>
      <w:r>
        <w:rPr>
          <w:rFonts w:hint="eastAsia"/>
          <w:lang w:eastAsia="zh-CN"/>
        </w:rPr>
        <w:t>4数据。目前最新数据，以本公司最新调研数据为准。</w:t>
      </w:r>
    </w:p>
    <w:p w14:paraId="01DCDE49">
      <w:pPr>
        <w:pStyle w:val="145"/>
        <w:rPr>
          <w:lang w:eastAsia="zh-CN"/>
        </w:rPr>
      </w:pPr>
      <w:r>
        <w:rPr>
          <w:rFonts w:hint="eastAsia"/>
          <w:lang w:eastAsia="zh-CN"/>
        </w:rPr>
        <w:t>根据QYResearch头部企业研究中心调研，全球范围内薄膜铌酸锂（TFLN）晶圆生产商主要包括济南晶正、上海新硅聚合半导体、南智光电、厦门博威等。2024年，全球前三大厂商占有大约93.0%的市场份额。</w:t>
      </w:r>
    </w:p>
    <w:p w14:paraId="6D787849">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14:paraId="01BD11D3">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TFLN晶圆</w:t>
      </w:r>
      <w:r>
        <w:rPr>
          <w:rFonts w:hint="eastAsia"/>
          <w:lang w:eastAsia="zh-CN"/>
        </w:rPr>
        <w:t>，按产品类型细分全球市场规模</w:t>
      </w:r>
    </w:p>
    <w:p w14:paraId="4D6178C2">
      <w:pPr>
        <w:pStyle w:val="145"/>
        <w:rPr>
          <w:lang w:eastAsia="zh-CN"/>
        </w:rPr>
      </w:pPr>
      <w:r>
        <w:drawing>
          <wp:inline distT="0" distB="0" distL="0" distR="0">
            <wp:extent cx="6086475" cy="3267075"/>
            <wp:effectExtent l="0" t="0" r="0" b="0"/>
            <wp:docPr id="19966682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F6291A8">
      <w:pPr>
        <w:pStyle w:val="143"/>
        <w:rPr>
          <w:lang w:eastAsia="zh-CN"/>
        </w:rPr>
      </w:pPr>
      <w:r>
        <w:rPr>
          <w:rFonts w:hint="eastAsia"/>
          <w:lang w:eastAsia="zh-CN"/>
        </w:rPr>
        <w:t>如上图表/数据，摘自QYResearch最新报告“全球</w:t>
      </w:r>
      <w:r>
        <w:rPr>
          <w:lang w:eastAsia="zh-CN"/>
        </w:rPr>
        <w:t>TFLN晶圆</w:t>
      </w:r>
      <w:r>
        <w:rPr>
          <w:rFonts w:hint="eastAsia"/>
          <w:lang w:eastAsia="zh-CN"/>
        </w:rPr>
        <w:t>市场研究报告2025-2031”</w:t>
      </w:r>
      <w:r>
        <w:rPr>
          <w:lang w:eastAsia="zh-CN"/>
        </w:rPr>
        <w:t>.</w:t>
      </w:r>
    </w:p>
    <w:p w14:paraId="33085491">
      <w:pPr>
        <w:pStyle w:val="145"/>
        <w:rPr>
          <w:lang w:val="en-US" w:eastAsia="zh-CN"/>
        </w:rPr>
      </w:pPr>
      <w:r>
        <w:rPr>
          <w:rFonts w:hint="eastAsia"/>
          <w:lang w:val="en-US" w:eastAsia="zh-CN"/>
        </w:rPr>
        <w:t>就产品类型而言，目前6英寸是最主要的细分产品，占据大约60%的份额。目前，TFLN晶圆市场主要按尺寸划分为4英寸与6英寸，其中6英寸因良率提升、兼容主流光子代工线（如SiN平台）而逐步成为主流。日本、中国在技术起步阶段占据优势地位，但近年来，中国厂商在此领域加快赶超，如济南晶正已在6英寸TFLN 晶圆制备方面实现稳定批量出货，价格低于海外产品，推动下游国产化替代趋势明显。</w:t>
      </w:r>
    </w:p>
    <w:p w14:paraId="234F798F">
      <w:pPr>
        <w:widowControl/>
        <w:topLinePunct w:val="0"/>
        <w:spacing w:after="0"/>
        <w:jc w:val="left"/>
        <w:rPr>
          <w:color w:val="0D0D0D" w:themeColor="text1" w:themeTint="F2"/>
          <w:kern w:val="0"/>
          <w:szCs w:val="22"/>
          <w14:textFill>
            <w14:solidFill>
              <w14:schemeClr w14:val="tx1">
                <w14:lumMod w14:val="95000"/>
                <w14:lumOff w14:val="5000"/>
              </w14:schemeClr>
            </w14:solidFill>
          </w14:textFill>
        </w:rPr>
      </w:pPr>
      <w:r>
        <w:br w:type="page"/>
      </w:r>
    </w:p>
    <w:p w14:paraId="4DFE9980">
      <w:pPr>
        <w:pStyle w:val="148"/>
        <w:widowControl/>
        <w:numPr>
          <w:numId w:val="0"/>
        </w:numPr>
        <w:topLinePunct w:val="0"/>
        <w:spacing w:after="0"/>
        <w:ind w:left="357" w:leftChars="0" w:hanging="357" w:firstLineChars="0"/>
        <w:rPr>
          <w:rFonts w:hint="eastAsia" w:ascii="宋体" w:hAnsi="宋体" w:cs="宋体"/>
          <w:sz w:val="24"/>
          <w:szCs w:val="24"/>
          <w:lang w:eastAsia="zh-CN"/>
        </w:rPr>
      </w:pPr>
      <w:r>
        <w:rPr>
          <w:rFonts w:hint="default" w:ascii="Tahoma" w:hAnsi="Tahoma" w:eastAsia="宋体" w:cs="宋体"/>
          <w:b/>
          <w:color w:val="FF8200"/>
          <w:kern w:val="0"/>
          <w:sz w:val="21"/>
          <w:szCs w:val="24"/>
          <w:lang w:val="en-IN" w:eastAsia="zh-CN" w:bidi="ar-SA"/>
        </w:rPr>
        <w:t xml:space="preserve">图.   </w:t>
      </w:r>
      <w:r>
        <w:rPr>
          <w:lang w:eastAsia="zh-CN"/>
        </w:rPr>
        <w:t>TFLN晶圆</w:t>
      </w:r>
      <w:r>
        <w:rPr>
          <w:rFonts w:hint="eastAsia"/>
          <w:lang w:eastAsia="zh-CN"/>
        </w:rPr>
        <w:t>，按应用细分全球市场规模</w:t>
      </w:r>
    </w:p>
    <w:p w14:paraId="3E806873">
      <w:pPr>
        <w:widowControl/>
        <w:topLinePunct w:val="0"/>
        <w:spacing w:after="0"/>
        <w:jc w:val="left"/>
        <w:rPr>
          <w:rFonts w:hint="eastAsia" w:ascii="宋体" w:hAnsi="宋体" w:cs="宋体"/>
          <w:kern w:val="0"/>
          <w:sz w:val="24"/>
          <w:szCs w:val="24"/>
        </w:rPr>
      </w:pPr>
      <w:r>
        <w:drawing>
          <wp:inline distT="0" distB="0" distL="0" distR="0">
            <wp:extent cx="6188710" cy="3143250"/>
            <wp:effectExtent l="0" t="0" r="2540" b="0"/>
            <wp:docPr id="162746487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FB13C56">
      <w:pPr>
        <w:pStyle w:val="143"/>
        <w:rPr>
          <w:lang w:eastAsia="zh-CN"/>
        </w:rPr>
      </w:pPr>
      <w:r>
        <w:rPr>
          <w:rFonts w:hint="eastAsia"/>
          <w:lang w:eastAsia="zh-CN"/>
        </w:rPr>
        <w:t>如上图表/数据，摘自QYResearch最新报告“全球</w:t>
      </w:r>
      <w:r>
        <w:rPr>
          <w:lang w:eastAsia="zh-CN"/>
        </w:rPr>
        <w:t>TFLN晶圆</w:t>
      </w:r>
      <w:r>
        <w:rPr>
          <w:rFonts w:hint="eastAsia"/>
          <w:lang w:eastAsia="zh-CN"/>
        </w:rPr>
        <w:t>市场研究报告2025-2031”</w:t>
      </w:r>
      <w:r>
        <w:rPr>
          <w:lang w:eastAsia="zh-CN"/>
        </w:rPr>
        <w:t>.</w:t>
      </w:r>
    </w:p>
    <w:p w14:paraId="6D4EDDA1">
      <w:pPr>
        <w:pStyle w:val="145"/>
        <w:rPr>
          <w:lang w:val="en-US" w:eastAsia="zh-CN"/>
        </w:rPr>
      </w:pPr>
      <w:r>
        <w:rPr>
          <w:rFonts w:hint="eastAsia"/>
          <w:lang w:val="en-US" w:eastAsia="zh-CN"/>
        </w:rPr>
        <w:t>就产品应用而言，目前声表面波器件是最主要的需求来源，占据大约80 %的份额。</w:t>
      </w:r>
      <w:r>
        <w:rPr>
          <w:lang w:val="en-US" w:eastAsia="zh-CN"/>
        </w:rPr>
        <w:t xml:space="preserve">在应用层面，光通信调制器（特别是400G/800G及以上速率的相干调制器）是当前TFLN </w:t>
      </w:r>
      <w:r>
        <w:rPr>
          <w:rFonts w:hint="eastAsia"/>
          <w:lang w:val="en-US" w:eastAsia="zh-CN"/>
        </w:rPr>
        <w:t>晶圆</w:t>
      </w:r>
      <w:r>
        <w:rPr>
          <w:lang w:val="en-US" w:eastAsia="zh-CN"/>
        </w:rPr>
        <w:t>最成熟的落地场景。相比传统LiNbO₃调制器，TFLN调制器体积更小、带宽更高（可达60GHz+）、功耗更低，适应AI数据中心对高速低延迟光互连的需求。此外，TFLN在微腔光子谐振器、声光器件、频率梳产生器及光子量子芯片等科研与前沿技术中也有广阔应用前景。</w:t>
      </w:r>
      <w:bookmarkStart w:id="13" w:name="_GoBack"/>
      <w:bookmarkEnd w:id="13"/>
    </w:p>
    <w:p w14:paraId="573DB400">
      <w:pPr>
        <w:widowControl/>
        <w:topLinePunct w:val="0"/>
        <w:spacing w:after="0"/>
        <w:jc w:val="left"/>
        <w:rPr>
          <w:color w:val="0D0D0D" w:themeColor="text1" w:themeTint="F2"/>
          <w:kern w:val="0"/>
          <w:szCs w:val="22"/>
          <w14:textFill>
            <w14:solidFill>
              <w14:schemeClr w14:val="tx1">
                <w14:lumMod w14:val="95000"/>
                <w14:lumOff w14:val="5000"/>
              </w14:schemeClr>
            </w14:solidFill>
          </w14:textFill>
        </w:rPr>
      </w:pPr>
      <w:r>
        <w:br w:type="page"/>
      </w:r>
    </w:p>
    <w:p w14:paraId="16764AD9">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全球主要市场</w:t>
      </w:r>
      <w:r>
        <w:rPr>
          <w:lang w:eastAsia="zh-CN"/>
        </w:rPr>
        <w:t>TFLN晶圆</w:t>
      </w:r>
      <w:r>
        <w:rPr>
          <w:rFonts w:hint="eastAsia"/>
          <w:lang w:eastAsia="zh-CN"/>
        </w:rPr>
        <w:t>规模</w:t>
      </w:r>
    </w:p>
    <w:p w14:paraId="532229BE">
      <w:pPr>
        <w:pStyle w:val="145"/>
        <w:rPr>
          <w:lang w:val="en-US" w:eastAsia="zh-CN"/>
        </w:rPr>
      </w:pPr>
      <w:r>
        <w:drawing>
          <wp:inline distT="0" distB="0" distL="0" distR="0">
            <wp:extent cx="6200775" cy="3248025"/>
            <wp:effectExtent l="0" t="0" r="0" b="0"/>
            <wp:docPr id="69973888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9E7A780">
      <w:pPr>
        <w:pStyle w:val="143"/>
        <w:rPr>
          <w:lang w:eastAsia="zh-CN"/>
        </w:rPr>
      </w:pPr>
      <w:r>
        <w:rPr>
          <w:rFonts w:hint="eastAsia"/>
          <w:lang w:eastAsia="zh-CN"/>
        </w:rPr>
        <w:t>如上图表/数据，摘自QYResearch最新报告“全球</w:t>
      </w:r>
      <w:r>
        <w:rPr>
          <w:lang w:eastAsia="zh-CN"/>
        </w:rPr>
        <w:t>TFLN晶圆</w:t>
      </w:r>
      <w:r>
        <w:rPr>
          <w:rFonts w:hint="eastAsia"/>
          <w:lang w:eastAsia="zh-CN"/>
        </w:rPr>
        <w:t>市场研究报告2025-2031”</w:t>
      </w:r>
      <w:r>
        <w:rPr>
          <w:lang w:eastAsia="zh-CN"/>
        </w:rPr>
        <w:t>.</w:t>
      </w:r>
    </w:p>
    <w:p w14:paraId="684C6CEB">
      <w:pPr>
        <w:widowControl/>
        <w:topLinePunct w:val="0"/>
        <w:spacing w:after="0"/>
        <w:jc w:val="left"/>
        <w:rPr>
          <w:i/>
          <w:color w:val="0D0D0D" w:themeColor="text1" w:themeTint="F2"/>
          <w:kern w:val="0"/>
          <w:sz w:val="16"/>
          <w:szCs w:val="22"/>
          <w:lang w:val="en-IN"/>
          <w14:textFill>
            <w14:solidFill>
              <w14:schemeClr w14:val="tx1">
                <w14:lumMod w14:val="95000"/>
                <w14:lumOff w14:val="5000"/>
              </w14:schemeClr>
            </w14:solidFill>
          </w14:textFill>
        </w:rPr>
      </w:pPr>
      <w:r>
        <w:br w:type="page"/>
      </w:r>
    </w:p>
    <w:p w14:paraId="586C2696">
      <w:pPr>
        <w:pStyle w:val="167"/>
        <w:rPr>
          <w:lang w:eastAsia="zh-CN"/>
        </w:rPr>
      </w:pPr>
      <w:r>
        <w:rPr>
          <w:lang w:eastAsia="zh-CN"/>
        </w:rPr>
        <w:t>TFLN晶圆</w:t>
      </w:r>
      <w:r>
        <w:rPr>
          <w:rFonts w:hint="eastAsia"/>
          <w:lang w:eastAsia="zh-CN"/>
        </w:rPr>
        <w:t>市场动态</w:t>
      </w:r>
    </w:p>
    <w:p w14:paraId="418CECD8">
      <w:pPr>
        <w:pStyle w:val="145"/>
        <w:rPr>
          <w:lang w:eastAsia="zh-CN"/>
        </w:rPr>
      </w:pPr>
      <w:r>
        <w:rPr>
          <w:rFonts w:hint="eastAsia"/>
          <w:lang w:eastAsia="zh-CN"/>
        </w:rPr>
        <w:t>主要驱动因素</w:t>
      </w:r>
      <w:r>
        <w:rPr>
          <w:lang w:eastAsia="zh-CN"/>
        </w:rPr>
        <w:t>:</w:t>
      </w:r>
    </w:p>
    <w:p w14:paraId="26DE5C68">
      <w:pPr>
        <w:pStyle w:val="145"/>
        <w:rPr>
          <w:lang w:eastAsia="zh-CN"/>
        </w:rPr>
      </w:pPr>
      <w:r>
        <w:rPr>
          <w:rFonts w:hint="eastAsia"/>
          <w:lang w:eastAsia="zh-CN"/>
        </w:rPr>
        <w:t>高速光通信需求增长：TFLN晶圆可用于制备超低损耗、高带宽的调制器，支撑400G/800G相干光网络及未来1.6T系统的扩展。</w:t>
      </w:r>
    </w:p>
    <w:p w14:paraId="3B8BBE66">
      <w:pPr>
        <w:pStyle w:val="145"/>
        <w:rPr>
          <w:lang w:eastAsia="zh-CN"/>
        </w:rPr>
      </w:pPr>
      <w:r>
        <w:rPr>
          <w:rFonts w:hint="eastAsia"/>
          <w:lang w:eastAsia="zh-CN"/>
        </w:rPr>
        <w:t>与硅光平台集成：TFLN具备与CMOS工艺兼容的优势，可与硅光子实现混合集成，降低制造成本并推动规模化量产。</w:t>
      </w:r>
    </w:p>
    <w:p w14:paraId="77DCDCD1">
      <w:pPr>
        <w:pStyle w:val="145"/>
        <w:rPr>
          <w:lang w:eastAsia="zh-CN"/>
        </w:rPr>
      </w:pPr>
      <w:r>
        <w:rPr>
          <w:rFonts w:hint="eastAsia"/>
          <w:lang w:eastAsia="zh-CN"/>
        </w:rPr>
        <w:t>新兴应用驱动：量子计算、微波光子学和激光雷达等前沿领域正在快速发展，成为推动TFLN晶圆采用的重要动力。</w:t>
      </w:r>
    </w:p>
    <w:p w14:paraId="446A06E2">
      <w:pPr>
        <w:pStyle w:val="145"/>
        <w:rPr>
          <w:lang w:eastAsia="zh-CN"/>
        </w:rPr>
      </w:pPr>
      <w:r>
        <w:rPr>
          <w:rFonts w:hint="eastAsia"/>
          <w:lang w:eastAsia="zh-CN"/>
        </w:rPr>
        <w:t>主要阻碍因素</w:t>
      </w:r>
      <w:r>
        <w:rPr>
          <w:lang w:eastAsia="zh-CN"/>
        </w:rPr>
        <w:t>:</w:t>
      </w:r>
    </w:p>
    <w:p w14:paraId="3E991FD5">
      <w:pPr>
        <w:pStyle w:val="145"/>
        <w:rPr>
          <w:lang w:eastAsia="zh-CN"/>
        </w:rPr>
      </w:pPr>
      <w:r>
        <w:rPr>
          <w:rFonts w:hint="eastAsia"/>
          <w:lang w:eastAsia="zh-CN"/>
        </w:rPr>
        <w:t>生产成本高、工艺复杂：TFLN晶圆的制造需采用先进的键合与抛光工艺，导致成本偏高、良率受限。</w:t>
      </w:r>
    </w:p>
    <w:p w14:paraId="7234A3B4">
      <w:pPr>
        <w:pStyle w:val="145"/>
        <w:rPr>
          <w:lang w:eastAsia="zh-CN"/>
        </w:rPr>
      </w:pPr>
      <w:r>
        <w:rPr>
          <w:rFonts w:hint="eastAsia"/>
          <w:lang w:eastAsia="zh-CN"/>
        </w:rPr>
        <w:t>供应商数量有限：行业仍依赖少数几家核心供应商，形成供应链瓶颈。</w:t>
      </w:r>
    </w:p>
    <w:p w14:paraId="15243873">
      <w:pPr>
        <w:pStyle w:val="145"/>
        <w:rPr>
          <w:lang w:eastAsia="zh-CN"/>
        </w:rPr>
      </w:pPr>
      <w:r>
        <w:rPr>
          <w:rFonts w:hint="eastAsia"/>
          <w:lang w:eastAsia="zh-CN"/>
        </w:rPr>
        <w:t>替代材料竞争：磷化铟（InP）和体材料铌酸锂等成熟平台在部分光子市场仍具竞争力。</w:t>
      </w:r>
    </w:p>
    <w:p w14:paraId="542F2F35">
      <w:pPr>
        <w:widowControl/>
        <w:topLinePunct w:val="0"/>
        <w:spacing w:after="0"/>
        <w:jc w:val="left"/>
      </w:pPr>
    </w:p>
    <w:p w14:paraId="09ED3FD3">
      <w:pPr>
        <w:widowControl/>
        <w:topLinePunct w:val="0"/>
        <w:spacing w:after="0"/>
        <w:jc w:val="left"/>
      </w:pPr>
      <w:r>
        <w:rPr>
          <w:rFonts w:hint="eastAsia"/>
        </w:rPr>
        <w:t>行业发展机遇：</w:t>
      </w:r>
    </w:p>
    <w:p w14:paraId="2FF30FA7">
      <w:pPr>
        <w:pStyle w:val="145"/>
        <w:rPr>
          <w:lang w:eastAsia="zh-CN"/>
        </w:rPr>
      </w:pPr>
      <w:r>
        <w:rPr>
          <w:rFonts w:hint="eastAsia"/>
          <w:lang w:eastAsia="zh-CN"/>
        </w:rPr>
        <w:t>新一代光子器件商业化：TFLN晶圆正推动超高速、低功耗光子集成电路的出现，打开新型市场空间。</w:t>
      </w:r>
    </w:p>
    <w:p w14:paraId="5CE7981C">
      <w:pPr>
        <w:pStyle w:val="145"/>
        <w:rPr>
          <w:lang w:eastAsia="zh-CN"/>
        </w:rPr>
      </w:pPr>
      <w:r>
        <w:rPr>
          <w:rFonts w:hint="eastAsia"/>
          <w:lang w:eastAsia="zh-CN"/>
        </w:rPr>
        <w:t>本地化与投资加速：中、美、欧等地对TFLN晶圆制造的投资增加，有望减少对进口的依赖，加快技术渗透。</w:t>
      </w:r>
    </w:p>
    <w:p w14:paraId="07A95001">
      <w:pPr>
        <w:pStyle w:val="145"/>
        <w:rPr>
          <w:lang w:eastAsia="zh-CN"/>
        </w:rPr>
      </w:pPr>
      <w:r>
        <w:rPr>
          <w:rFonts w:hint="eastAsia"/>
          <w:lang w:eastAsia="zh-CN"/>
        </w:rPr>
        <w:t>跨行业应用拓展： 除通信外，TFLN晶圆在传感、航空航天和国防等领域的应用潜力逐步释放，进一步扩大市场规模。</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20C"/>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B93"/>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0F"/>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BAA"/>
    <w:rsid w:val="00067E34"/>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292"/>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978"/>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07"/>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005"/>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7FB"/>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434"/>
    <w:rsid w:val="00183923"/>
    <w:rsid w:val="00183BC8"/>
    <w:rsid w:val="00183D22"/>
    <w:rsid w:val="00184014"/>
    <w:rsid w:val="0018432C"/>
    <w:rsid w:val="001844C7"/>
    <w:rsid w:val="001848AE"/>
    <w:rsid w:val="00184DAB"/>
    <w:rsid w:val="00184E1F"/>
    <w:rsid w:val="00184E6C"/>
    <w:rsid w:val="00184E75"/>
    <w:rsid w:val="001850F7"/>
    <w:rsid w:val="001851A1"/>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81B"/>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4E"/>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A17"/>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947"/>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65"/>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80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10"/>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051"/>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5F7"/>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3E8"/>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1AB"/>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123"/>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9C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6D7"/>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371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5C48"/>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4AA"/>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952"/>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70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6E77"/>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A42"/>
    <w:rsid w:val="004C1B2B"/>
    <w:rsid w:val="004C1EF9"/>
    <w:rsid w:val="004C22A7"/>
    <w:rsid w:val="004C2C60"/>
    <w:rsid w:val="004C2D7E"/>
    <w:rsid w:val="004C2EBC"/>
    <w:rsid w:val="004C2F78"/>
    <w:rsid w:val="004C3665"/>
    <w:rsid w:val="004C389F"/>
    <w:rsid w:val="004C3F27"/>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486"/>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5B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4"/>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6F17"/>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AE"/>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ADC"/>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ED1"/>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AE9"/>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B54"/>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0C7"/>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5CA"/>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5C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02F"/>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648"/>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0EED"/>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4D8"/>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AFE"/>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A1C"/>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1EB"/>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143"/>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A77"/>
    <w:rsid w:val="00970D4D"/>
    <w:rsid w:val="00970F2D"/>
    <w:rsid w:val="00971315"/>
    <w:rsid w:val="009714A3"/>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C61"/>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AB0"/>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1B6"/>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9DA"/>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909"/>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B87"/>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2ED"/>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2FED"/>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6DF2"/>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2D3"/>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747"/>
    <w:rsid w:val="00BF1871"/>
    <w:rsid w:val="00BF19C2"/>
    <w:rsid w:val="00BF1B05"/>
    <w:rsid w:val="00BF1E61"/>
    <w:rsid w:val="00BF1F57"/>
    <w:rsid w:val="00BF207B"/>
    <w:rsid w:val="00BF2117"/>
    <w:rsid w:val="00BF26DA"/>
    <w:rsid w:val="00BF2BA2"/>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579"/>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4C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54E"/>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973"/>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3F61"/>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AF1"/>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4A4"/>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DF"/>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33"/>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554"/>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4DE5"/>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0E20"/>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A19"/>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D3A"/>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8B9"/>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6F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85D4315"/>
    <w:rsid w:val="739931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5" Type="http://schemas.microsoft.com/office/2011/relationships/chartColorStyle" Target="colors2.xml"/><Relationship Id="rId4" Type="http://schemas.microsoft.com/office/2011/relationships/chartStyle" Target="style2.xml"/><Relationship Id="rId3" Type="http://schemas.openxmlformats.org/officeDocument/2006/relationships/chartUserShapes" Target="../drawings/drawing1.xml"/><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a:t>
            </a:r>
            <a:endParaRPr lang="en-US"/>
          </a:p>
        </c:rich>
      </c:tx>
      <c:layout/>
      <c:overlay val="0"/>
      <c:spPr>
        <a:noFill/>
        <a:ln>
          <a:noFill/>
        </a:ln>
        <a:effectLst/>
      </c:spPr>
    </c:title>
    <c:autoTitleDeleted val="0"/>
    <c:plotArea>
      <c:layout>
        <c:manualLayout>
          <c:layoutTarget val="inner"/>
          <c:xMode val="edge"/>
          <c:yMode val="edge"/>
          <c:x val="0.0240928112880962"/>
          <c:y val="0.135591176470588"/>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2020</c:v>
                </c:pt>
                <c:pt idx="1">
                  <c:v>2025</c:v>
                </c:pt>
                <c:pt idx="2">
                  <c:v>2031</c:v>
                </c:pt>
              </c:numCache>
            </c:numRef>
          </c:cat>
          <c:val>
            <c:numRef>
              <c:f>全球总体!$S$7:$U$7</c:f>
              <c:numCache>
                <c:formatCode>#,##0_ </c:formatCode>
                <c:ptCount val="3"/>
                <c:pt idx="0">
                  <c:v>13.06</c:v>
                </c:pt>
                <c:pt idx="1">
                  <c:v>170.62</c:v>
                </c:pt>
                <c:pt idx="2">
                  <c:v>1514.54</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7bb96b69-0440-4bd7-9739-2599137c883f}"/>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Lbls>
            <c:delete val="1"/>
          </c:dLbls>
          <c:cat>
            <c:strRef>
              <c:f>企业收入!$H$2:$H$21</c:f>
              <c:strCache>
                <c:ptCount val="7"/>
                <c:pt idx="0">
                  <c:v>济南晶正</c:v>
                </c:pt>
                <c:pt idx="1">
                  <c:v>上海新硅聚合半导体</c:v>
                </c:pt>
                <c:pt idx="2">
                  <c:v>南智光电</c:v>
                </c:pt>
                <c:pt idx="3">
                  <c:v>厦门博威</c:v>
                </c:pt>
                <c:pt idx="4">
                  <c:v>NGK Insulators</c:v>
                </c:pt>
                <c:pt idx="5">
                  <c:v>Partow Technologies</c:v>
                </c:pt>
                <c:pt idx="6">
                  <c:v>Alfa Chemistry</c:v>
                </c:pt>
              </c:strCache>
            </c:strRef>
          </c:cat>
          <c:val>
            <c:numRef>
              <c:f>企业收入!$I$2:$I$21</c:f>
              <c:numCache>
                <c:formatCode>0.0%</c:formatCode>
                <c:ptCount val="7"/>
                <c:pt idx="0">
                  <c:v>0.874489795918367</c:v>
                </c:pt>
                <c:pt idx="1">
                  <c:v>0.0249536178107607</c:v>
                </c:pt>
                <c:pt idx="2">
                  <c:v>0.0192949907235622</c:v>
                </c:pt>
                <c:pt idx="3">
                  <c:v>0.0122448979591837</c:v>
                </c:pt>
                <c:pt idx="4">
                  <c:v>0.00742115027829314</c:v>
                </c:pt>
                <c:pt idx="5">
                  <c:v>0.00602968460111317</c:v>
                </c:pt>
                <c:pt idx="6">
                  <c:v>0.00371057513914657</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8b15b029-7043-434a-99d9-09c03f4e9d56}"/>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percentStacked"/>
        <c:varyColors val="0"/>
        <c:ser>
          <c:idx val="0"/>
          <c:order val="0"/>
          <c:tx>
            <c:strRef>
              <c:f>分类!$R$2</c:f>
              <c:strCache>
                <c:ptCount val="1"/>
                <c:pt idx="0">
                  <c:v>4英寸</c:v>
                </c:pt>
              </c:strCache>
            </c:strRef>
          </c:tx>
          <c:spPr>
            <a:solidFill>
              <a:srgbClr val="00206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分类!$S$2:$AD$2</c:f>
              <c:numCache>
                <c:formatCode>0.0%</c:formatCode>
                <c:ptCount val="12"/>
                <c:pt idx="0">
                  <c:v>0.39739663093415</c:v>
                </c:pt>
                <c:pt idx="1">
                  <c:v>0.386756960120391</c:v>
                </c:pt>
                <c:pt idx="2">
                  <c:v>0.379645635263613</c:v>
                </c:pt>
                <c:pt idx="3">
                  <c:v>0.368777056277056</c:v>
                </c:pt>
                <c:pt idx="4">
                  <c:v>0.354359925788497</c:v>
                </c:pt>
                <c:pt idx="5">
                  <c:v>0.342867190247333</c:v>
                </c:pt>
                <c:pt idx="6">
                  <c:v>0.333415762885505</c:v>
                </c:pt>
                <c:pt idx="7">
                  <c:v>0.322715921406022</c:v>
                </c:pt>
                <c:pt idx="8">
                  <c:v>0.313101555045948</c:v>
                </c:pt>
                <c:pt idx="9">
                  <c:v>0.302944114708821</c:v>
                </c:pt>
                <c:pt idx="10">
                  <c:v>0.286612281144708</c:v>
                </c:pt>
                <c:pt idx="11">
                  <c:v>0.275535806251403</c:v>
                </c:pt>
              </c:numCache>
            </c:numRef>
          </c:val>
        </c:ser>
        <c:ser>
          <c:idx val="1"/>
          <c:order val="1"/>
          <c:tx>
            <c:strRef>
              <c:f>分类!$R$3</c:f>
              <c:strCache>
                <c:ptCount val="1"/>
                <c:pt idx="0">
                  <c:v>6英寸</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分类!$S$3:$AD$3</c:f>
              <c:numCache>
                <c:formatCode>0.0%</c:formatCode>
                <c:ptCount val="12"/>
                <c:pt idx="0">
                  <c:v>0.541347626339969</c:v>
                </c:pt>
                <c:pt idx="1">
                  <c:v>0.557562076749436</c:v>
                </c:pt>
                <c:pt idx="2">
                  <c:v>0.569792566983578</c:v>
                </c:pt>
                <c:pt idx="3">
                  <c:v>0.583603896103896</c:v>
                </c:pt>
                <c:pt idx="4">
                  <c:v>0.600927643784787</c:v>
                </c:pt>
                <c:pt idx="5">
                  <c:v>0.616574844684093</c:v>
                </c:pt>
                <c:pt idx="6">
                  <c:v>0.629384957784294</c:v>
                </c:pt>
                <c:pt idx="7">
                  <c:v>0.639895396503793</c:v>
                </c:pt>
                <c:pt idx="8">
                  <c:v>0.648147838168092</c:v>
                </c:pt>
                <c:pt idx="9">
                  <c:v>0.655567961450314</c:v>
                </c:pt>
                <c:pt idx="10">
                  <c:v>0.667818803924812</c:v>
                </c:pt>
                <c:pt idx="11">
                  <c:v>0.675340367372272</c:v>
                </c:pt>
              </c:numCache>
            </c:numRef>
          </c:val>
        </c:ser>
        <c:ser>
          <c:idx val="2"/>
          <c:order val="2"/>
          <c:tx>
            <c:strRef>
              <c:f>分类!$R$4</c:f>
              <c:strCache>
                <c:ptCount val="1"/>
                <c:pt idx="0">
                  <c:v>其他</c:v>
                </c:pt>
              </c:strCache>
            </c:strRef>
          </c:tx>
          <c:spPr>
            <a:solidFill>
              <a:srgbClr val="0070C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分类!$S$4:$AD$4</c:f>
              <c:numCache>
                <c:formatCode>0.0%</c:formatCode>
                <c:ptCount val="12"/>
                <c:pt idx="0">
                  <c:v>0.0612557427258805</c:v>
                </c:pt>
                <c:pt idx="1">
                  <c:v>0.0556809631301731</c:v>
                </c:pt>
                <c:pt idx="2">
                  <c:v>0.050561797752809</c:v>
                </c:pt>
                <c:pt idx="3">
                  <c:v>0.0476190476190476</c:v>
                </c:pt>
                <c:pt idx="4">
                  <c:v>0.0447124304267161</c:v>
                </c:pt>
                <c:pt idx="5">
                  <c:v>0.0405579650685734</c:v>
                </c:pt>
                <c:pt idx="6">
                  <c:v>0.037199279330201</c:v>
                </c:pt>
                <c:pt idx="7">
                  <c:v>0.0373886820901852</c:v>
                </c:pt>
                <c:pt idx="8">
                  <c:v>0.0387506067859594</c:v>
                </c:pt>
                <c:pt idx="9">
                  <c:v>0.041487923840865</c:v>
                </c:pt>
                <c:pt idx="10">
                  <c:v>0.04556891493048</c:v>
                </c:pt>
                <c:pt idx="11">
                  <c:v>0.0491238263763255</c:v>
                </c:pt>
              </c:numCache>
            </c:numRef>
          </c:val>
        </c:ser>
        <c:ser>
          <c:idx val="3"/>
          <c:order val="3"/>
          <c:tx>
            <c:strRef>
              <c:f>分类!$R$5</c:f>
              <c:strCache>
                <c:ptCount val="1"/>
                <c:pt idx="0">
                  <c:v>0</c:v>
                </c:pt>
              </c:strCache>
            </c:strRef>
          </c:tx>
          <c:spPr>
            <a:solidFill>
              <a:srgbClr val="FFC00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分类!$S$5:$AD$5</c:f>
            </c:numRef>
          </c:val>
        </c:ser>
        <c:ser>
          <c:idx val="4"/>
          <c:order val="4"/>
          <c:tx>
            <c:strRef>
              <c:f>分类!$R$6</c:f>
              <c:strCache>
                <c:ptCount val="1"/>
                <c:pt idx="0">
                  <c:v>0</c:v>
                </c:pt>
              </c:strCache>
            </c:strRef>
          </c:tx>
          <c:spPr>
            <a:solidFill>
              <a:schemeClr val="tx1">
                <a:lumMod val="65000"/>
                <a:lumOff val="35000"/>
              </a:schemeClr>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分类!$S$6:$AD$6</c:f>
            </c:numRef>
          </c:val>
        </c:ser>
        <c:ser>
          <c:idx val="5"/>
          <c:order val="5"/>
          <c:tx>
            <c:strRef>
              <c:f>分类!$R$7</c:f>
              <c:strCache>
                <c:ptCount val="1"/>
                <c:pt idx="0">
                  <c:v>0</c:v>
                </c:pt>
              </c:strCache>
            </c:strRef>
          </c:tx>
          <c:spPr>
            <a:solidFill>
              <a:srgbClr val="C0000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分类!$S$7:$AD$7</c:f>
            </c:numRef>
          </c:val>
        </c:ser>
        <c:ser>
          <c:idx val="6"/>
          <c:order val="6"/>
          <c:tx>
            <c:strRef>
              <c:f>分类!$R$8</c:f>
              <c:strCache>
                <c:ptCount val="1"/>
                <c:pt idx="0">
                  <c:v>0</c:v>
                </c:pt>
              </c:strCache>
            </c:strRef>
          </c:tx>
          <c:spPr>
            <a:solidFill>
              <a:srgbClr val="7030A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分类!$S$8:$AD$8</c:f>
            </c:numRef>
          </c:val>
        </c:ser>
        <c:ser>
          <c:idx val="7"/>
          <c:order val="7"/>
          <c:tx>
            <c:strRef>
              <c:f>分类!$R$9</c:f>
              <c:strCache>
                <c:ptCount val="1"/>
                <c:pt idx="0">
                  <c:v>0</c:v>
                </c:pt>
              </c:strCache>
            </c:strRef>
          </c:tx>
          <c:spPr>
            <a:solidFill>
              <a:schemeClr val="tx2">
                <a:lumMod val="60000"/>
                <a:lumOff val="40000"/>
              </a:schemeClr>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分类!$S$9:$AD$9</c:f>
            </c:numRef>
          </c:val>
        </c:ser>
        <c:ser>
          <c:idx val="8"/>
          <c:order val="8"/>
          <c:tx>
            <c:strRef>
              <c:f>分类!$R$10</c:f>
              <c:strCache>
                <c:ptCount val="1"/>
                <c:pt idx="0">
                  <c:v>0</c:v>
                </c:pt>
              </c:strCache>
            </c:strRef>
          </c:tx>
          <c:spPr>
            <a:solidFill>
              <a:schemeClr val="accent6">
                <a:lumMod val="75000"/>
              </a:schemeClr>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分类!$S$10:$AD$10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manualLayout>
          <c:xMode val="edge"/>
          <c:yMode val="edge"/>
          <c:x val="0.319529433436047"/>
          <c:y val="0.907153484795292"/>
          <c:w val="0.38761874445563"/>
          <c:h val="0.0673688081983383"/>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b9dc61f4-3845-4786-a13f-0efb00968c20}"/>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声表面波器件</c:v>
                </c:pt>
              </c:strCache>
            </c:strRef>
          </c:tx>
          <c:spPr>
            <a:solidFill>
              <a:srgbClr val="002060"/>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应用!$B$2:$M$2</c:f>
              <c:numCache>
                <c:formatCode>#,##0.00_);[Red]\(#,##0.00\)</c:formatCode>
                <c:ptCount val="12"/>
                <c:pt idx="0">
                  <c:v>10.38</c:v>
                </c:pt>
                <c:pt idx="1">
                  <c:v>21.24</c:v>
                </c:pt>
                <c:pt idx="2">
                  <c:v>37.11</c:v>
                </c:pt>
                <c:pt idx="3">
                  <c:v>59.55</c:v>
                </c:pt>
                <c:pt idx="4">
                  <c:v>87.04</c:v>
                </c:pt>
                <c:pt idx="5">
                  <c:v>138.14</c:v>
                </c:pt>
                <c:pt idx="6">
                  <c:v>229.89</c:v>
                </c:pt>
                <c:pt idx="7">
                  <c:v>345.14</c:v>
                </c:pt>
                <c:pt idx="8">
                  <c:v>486.76</c:v>
                </c:pt>
                <c:pt idx="9">
                  <c:v>694.47</c:v>
                </c:pt>
                <c:pt idx="10">
                  <c:v>938.24</c:v>
                </c:pt>
                <c:pt idx="11">
                  <c:v>1238.78</c:v>
                </c:pt>
              </c:numCache>
            </c:numRef>
          </c:val>
        </c:ser>
        <c:ser>
          <c:idx val="1"/>
          <c:order val="1"/>
          <c:tx>
            <c:strRef>
              <c:f>应用!$A$3</c:f>
              <c:strCache>
                <c:ptCount val="1"/>
                <c:pt idx="0">
                  <c:v>光电器件</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应用!$B$3:$M$3</c:f>
              <c:numCache>
                <c:formatCode>#,##0.00_);[Red]\(#,##0.00\)</c:formatCode>
                <c:ptCount val="12"/>
                <c:pt idx="0">
                  <c:v>2.44</c:v>
                </c:pt>
                <c:pt idx="1">
                  <c:v>4.87</c:v>
                </c:pt>
                <c:pt idx="2">
                  <c:v>8.36</c:v>
                </c:pt>
                <c:pt idx="3">
                  <c:v>13.11</c:v>
                </c:pt>
                <c:pt idx="4">
                  <c:v>18.96</c:v>
                </c:pt>
                <c:pt idx="5">
                  <c:v>29.7</c:v>
                </c:pt>
                <c:pt idx="6">
                  <c:v>48.33</c:v>
                </c:pt>
                <c:pt idx="7">
                  <c:v>71.78</c:v>
                </c:pt>
                <c:pt idx="8">
                  <c:v>99.54</c:v>
                </c:pt>
                <c:pt idx="9">
                  <c:v>139.86</c:v>
                </c:pt>
                <c:pt idx="10">
                  <c:v>186.96</c:v>
                </c:pt>
                <c:pt idx="11">
                  <c:v>243.43</c:v>
                </c:pt>
              </c:numCache>
            </c:numRef>
          </c:val>
        </c:ser>
        <c:ser>
          <c:idx val="2"/>
          <c:order val="2"/>
          <c:tx>
            <c:strRef>
              <c:f>应用!$A$4</c:f>
              <c:strCache>
                <c:ptCount val="1"/>
                <c:pt idx="0">
                  <c:v>其他</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应用!$B$4:$M$4</c:f>
              <c:numCache>
                <c:formatCode>#,##0.00_);[Red]\(#,##0.00\)</c:formatCode>
                <c:ptCount val="12"/>
                <c:pt idx="0">
                  <c:v>0.24</c:v>
                </c:pt>
                <c:pt idx="1">
                  <c:v>0.47</c:v>
                </c:pt>
                <c:pt idx="2">
                  <c:v>0.81</c:v>
                </c:pt>
                <c:pt idx="3">
                  <c:v>1.26</c:v>
                </c:pt>
                <c:pt idx="4">
                  <c:v>1.8</c:v>
                </c:pt>
                <c:pt idx="5">
                  <c:v>2.78</c:v>
                </c:pt>
                <c:pt idx="6">
                  <c:v>4.85</c:v>
                </c:pt>
                <c:pt idx="7">
                  <c:v>7.54</c:v>
                </c:pt>
                <c:pt idx="8">
                  <c:v>11.11</c:v>
                </c:pt>
                <c:pt idx="9">
                  <c:v>16.52</c:v>
                </c:pt>
                <c:pt idx="10">
                  <c:v>23.39</c:v>
                </c:pt>
                <c:pt idx="11">
                  <c:v>32.33</c:v>
                </c:pt>
              </c:numCache>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应用!$B$11:$M$11</c:f>
              <c:numCache>
                <c:formatCode>#,##0.00_);[Red]\(#,##0.00\)</c:formatCode>
                <c:ptCount val="12"/>
                <c:pt idx="0">
                  <c:v>13.06</c:v>
                </c:pt>
                <c:pt idx="1">
                  <c:v>26.58</c:v>
                </c:pt>
                <c:pt idx="2">
                  <c:v>46.28</c:v>
                </c:pt>
                <c:pt idx="3">
                  <c:v>73.92</c:v>
                </c:pt>
                <c:pt idx="4">
                  <c:v>107.8</c:v>
                </c:pt>
                <c:pt idx="5">
                  <c:v>170.62</c:v>
                </c:pt>
                <c:pt idx="6">
                  <c:v>283.07</c:v>
                </c:pt>
                <c:pt idx="7">
                  <c:v>424.46</c:v>
                </c:pt>
                <c:pt idx="8">
                  <c:v>597.41</c:v>
                </c:pt>
                <c:pt idx="9">
                  <c:v>850.85</c:v>
                </c:pt>
                <c:pt idx="10">
                  <c:v>1148.59</c:v>
                </c:pt>
                <c:pt idx="11">
                  <c:v>1514.54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773879629629629"/>
          <c:y val="0.865502287581699"/>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9631bffe-cbca-426d-bea9-aecef970d4d1}"/>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percentStacked"/>
        <c:varyColors val="0"/>
        <c:ser>
          <c:idx val="0"/>
          <c:order val="0"/>
          <c:tx>
            <c:strRef>
              <c:f>'地区-消费'!$A$2</c:f>
              <c:strCache>
                <c:ptCount val="1"/>
                <c:pt idx="0">
                  <c:v>美洲</c:v>
                </c:pt>
              </c:strCache>
            </c:strRef>
          </c:tx>
          <c:spPr>
            <a:solidFill>
              <a:srgbClr val="00206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'地区-消费'!$B$2:$M$2</c:f>
              <c:numCache>
                <c:formatCode>#,##0.00_);[Red]\(#,##0.00\)</c:formatCode>
                <c:ptCount val="12"/>
                <c:pt idx="0">
                  <c:v>2.36</c:v>
                </c:pt>
                <c:pt idx="1">
                  <c:v>4.75</c:v>
                </c:pt>
                <c:pt idx="2">
                  <c:v>8.38</c:v>
                </c:pt>
                <c:pt idx="3">
                  <c:v>13.65</c:v>
                </c:pt>
                <c:pt idx="4">
                  <c:v>20.56</c:v>
                </c:pt>
                <c:pt idx="5">
                  <c:v>32.51</c:v>
                </c:pt>
                <c:pt idx="6">
                  <c:v>54.24</c:v>
                </c:pt>
                <c:pt idx="7">
                  <c:v>79.1799999999999</c:v>
                </c:pt>
                <c:pt idx="8">
                  <c:v>105.55</c:v>
                </c:pt>
                <c:pt idx="9">
                  <c:v>144.09</c:v>
                </c:pt>
                <c:pt idx="10">
                  <c:v>192.56</c:v>
                </c:pt>
                <c:pt idx="11">
                  <c:v>249.06</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'地区-消费'!$B$3:$M$3</c:f>
              <c:numCache>
                <c:formatCode>#,##0.00_);[Red]\(#,##0.00\)</c:formatCode>
                <c:ptCount val="12"/>
                <c:pt idx="0">
                  <c:v>1.89</c:v>
                </c:pt>
                <c:pt idx="1">
                  <c:v>3.55</c:v>
                </c:pt>
                <c:pt idx="2">
                  <c:v>5.93</c:v>
                </c:pt>
                <c:pt idx="3">
                  <c:v>8.57</c:v>
                </c:pt>
                <c:pt idx="4">
                  <c:v>10.91</c:v>
                </c:pt>
                <c:pt idx="5">
                  <c:v>15.2</c:v>
                </c:pt>
                <c:pt idx="6">
                  <c:v>22.62</c:v>
                </c:pt>
                <c:pt idx="7">
                  <c:v>34.07</c:v>
                </c:pt>
                <c:pt idx="8">
                  <c:v>50.48</c:v>
                </c:pt>
                <c:pt idx="9">
                  <c:v>69.87</c:v>
                </c:pt>
                <c:pt idx="10">
                  <c:v>94.53</c:v>
                </c:pt>
                <c:pt idx="11">
                  <c:v>124.01</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'地区-消费'!$B$4:$M$4</c:f>
              <c:numCache>
                <c:formatCode>#,##0.00_);[Red]\(#,##0.00\)</c:formatCode>
                <c:ptCount val="12"/>
                <c:pt idx="0">
                  <c:v>8.68</c:v>
                </c:pt>
                <c:pt idx="1">
                  <c:v>18.07</c:v>
                </c:pt>
                <c:pt idx="2">
                  <c:v>31.71</c:v>
                </c:pt>
                <c:pt idx="3">
                  <c:v>51.33</c:v>
                </c:pt>
                <c:pt idx="4">
                  <c:v>75.87</c:v>
                </c:pt>
                <c:pt idx="5">
                  <c:v>122.32</c:v>
                </c:pt>
                <c:pt idx="6">
                  <c:v>205.44</c:v>
                </c:pt>
                <c:pt idx="7">
                  <c:v>310.21</c:v>
                </c:pt>
                <c:pt idx="8">
                  <c:v>440.02</c:v>
                </c:pt>
                <c:pt idx="9">
                  <c:v>634.92</c:v>
                </c:pt>
                <c:pt idx="10">
                  <c:v>858.57</c:v>
                </c:pt>
                <c:pt idx="11">
                  <c:v>1136.86</c:v>
                </c:pt>
              </c:numCache>
            </c:numRef>
          </c:val>
        </c:ser>
        <c:ser>
          <c:idx val="3"/>
          <c:order val="3"/>
          <c:tx>
            <c:strRef>
              <c:f>'地区-消费'!$A$5</c:f>
              <c:strCache>
                <c:ptCount val="1"/>
                <c:pt idx="0">
                  <c:v>中东和非洲</c:v>
                </c:pt>
              </c:strCache>
            </c:strRef>
          </c:tx>
          <c:spPr>
            <a:solidFill>
              <a:srgbClr val="FFC00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'地区-消费'!$B$5:$M$5</c:f>
              <c:numCache>
                <c:formatCode>#,##0.00_);[Red]\(#,##0.00\)</c:formatCode>
                <c:ptCount val="12"/>
                <c:pt idx="0">
                  <c:v>0.13</c:v>
                </c:pt>
                <c:pt idx="1">
                  <c:v>0.21</c:v>
                </c:pt>
                <c:pt idx="2">
                  <c:v>0.26</c:v>
                </c:pt>
                <c:pt idx="3">
                  <c:v>0.37</c:v>
                </c:pt>
                <c:pt idx="4">
                  <c:v>0.46</c:v>
                </c:pt>
                <c:pt idx="5">
                  <c:v>0.59</c:v>
                </c:pt>
                <c:pt idx="6">
                  <c:v>0.77</c:v>
                </c:pt>
                <c:pt idx="7">
                  <c:v>1</c:v>
                </c:pt>
                <c:pt idx="8">
                  <c:v>1.36</c:v>
                </c:pt>
                <c:pt idx="9">
                  <c:v>1.97</c:v>
                </c:pt>
                <c:pt idx="10">
                  <c:v>2.93</c:v>
                </c:pt>
                <c:pt idx="11">
                  <c:v>4.61</c:v>
                </c:pt>
              </c:numCache>
            </c:numRef>
          </c:val>
        </c:ser>
        <c:ser>
          <c:idx val="4"/>
          <c:order val="4"/>
          <c:tx>
            <c:strRef>
              <c:f>'地区-消费'!$A$6</c:f>
              <c:strCache>
                <c:ptCount val="1"/>
                <c:pt idx="0">
                  <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'地区-消费'!$B$6:$M$6</c:f>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5"/>
                <c:order val="5"/>
                <c:tx>
                  <c:strRef>
                    <c:extLst>
                      <c:ext uri="{02D57815-91ED-43cb-92C2-25804820EDAC}">
                        <c15:formulaRef>
                          <c15:sqref>'C:\Users\wanga\Desktop\观点\202503\钢线材\[观点数据图表-钢线材.xlsx]地区-消费'!$A$7</c15:sqref>
                        </c15:formulaRef>
                      </c:ext>
                    </c:extLst>
                    <c:strCache>
                      <c:ptCount val="1"/>
                      <c:pt idx="0">
                        <c:v/>
                      </c:pt>
                    </c:strCache>
                  </c:strRef>
                </c:tx>
                <c:spPr>
                  <a:solidFill>
                    <a:srgbClr val="C00000"/>
                  </a:solidFill>
                  <a:ln>
                    <a:noFill/>
                  </a:ln>
                  <a:effectLst/>
                </c:spPr>
                <c:invertIfNegative val="0"/>
                <c:dLbls>
                  <c:delete val="1"/>
                </c:dLbls>
                <c:cat>
                  <c:numRef>
                    <c:extLst>
                      <c:ext uri="{02D57815-91ED-43cb-92C2-25804820EDAC}">
                        <c15:fullRef>
                          <c15:sqref/>
                        </c15:fullRef>
                        <c15:formulaRef>
                          <c15:sqref>'[1]地区-消费'!$B$1:$M$1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'[1]地区-消费'!$B$7:$M$7</c15:sqref>
                        </c15:formulaRef>
                      </c:ext>
                    </c:extLst>
                    <c:numCache>
                      <c:formatCode>General</c:formatCode>
                      <c:ptCount val="12"/>
                    </c:numCache>
                  </c:numRef>
                </c:val>
              </c15:ser>
            </c15:filteredBarSeries>
            <c15:filteredBarSeries>
              <c15:ser>
                <c:idx val="6"/>
                <c:order val="6"/>
                <c:tx>
                  <c:strRef>
                    <c:extLst>
                      <c:ext uri="{02D57815-91ED-43cb-92C2-25804820EDAC}">
                        <c15:formulaRef>
                          <c15:sqref>'C:\Users\wanga\Desktop\观点\202503\钢线材\[观点数据图表-钢线材.xlsx]地区-消费'!$A$8</c15:sqref>
                        </c15:formulaRef>
                      </c:ext>
                    </c:extLst>
                    <c:strCache>
                      <c:ptCount val="1"/>
                      <c:pt idx="0">
                        <c:v/>
                      </c:pt>
                    </c:strCache>
                  </c:strRef>
                </c:tx>
                <c:spPr>
                  <a:solidFill>
                    <a:srgbClr val="7030A0"/>
                  </a:solidFill>
                  <a:ln>
                    <a:noFill/>
                  </a:ln>
                  <a:effectLst/>
                </c:spPr>
                <c:invertIfNegative val="0"/>
                <c:dLbls>
                  <c:delete val="1"/>
                </c:dLbls>
                <c:cat>
                  <c:numRef>
                    <c:extLst>
                      <c:ext uri="{02D57815-91ED-43cb-92C2-25804820EDAC}">
                        <c15:fullRef>
                          <c15:sqref/>
                        </c15:fullRef>
                        <c15:formulaRef>
                          <c15:sqref>'[1]地区-消费'!$B$1:$M$1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'[1]地区-消费'!$B$8:$M$8</c15:sqref>
                        </c15:formulaRef>
                      </c:ext>
                    </c:extLst>
                    <c:numCache>
                      <c:formatCode>General</c:formatCode>
                      <c:ptCount val="12"/>
                    </c:numCache>
                  </c:numRef>
                </c:val>
              </c15:ser>
            </c15:filteredBarSeries>
            <c15:filteredBarSeries>
              <c15:ser>
                <c:idx val="7"/>
                <c:order val="7"/>
                <c:tx>
                  <c:strRef>
                    <c:extLst>
                      <c:ext uri="{02D57815-91ED-43cb-92C2-25804820EDAC}">
                        <c15:formulaRef>
                          <c15:sqref>'C:\Users\wanga\Desktop\观点\202503\钢线材\[观点数据图表-钢线材.xlsx]地区-消费'!$A$9</c15:sqref>
                        </c15:formulaRef>
                      </c:ext>
                    </c:extLst>
                    <c:strCache>
                      <c:ptCount val="1"/>
                      <c:pt idx="0">
                        <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'[1]地区-消费'!$B$1:$M$1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'[1]地区-消费'!$B$9:$M$9</c15:sqref>
                        </c15:formulaRef>
                      </c:ext>
                    </c:extLst>
                    <c:numCache>
                      <c:formatCode>General</c:formatCode>
                      <c:ptCount val="12"/>
                    </c:numCache>
                  </c:numRef>
                </c:val>
              </c15:ser>
            </c15:filteredBarSeries>
            <c15:filteredBarSeries>
              <c15:ser>
                <c:idx val="8"/>
                <c:order val="8"/>
                <c:tx>
                  <c:strRef>
                    <c:extLst>
                      <c:ext uri="{02D57815-91ED-43cb-92C2-25804820EDAC}">
                        <c15:formulaRef>
                          <c15:sqref>'C:\Users\wanga\Desktop\观点\202503\钢线材\[观点数据图表-钢线材.xlsx]地区-消费'!$A$10</c15:sqref>
                        </c15:formulaRef>
                      </c:ext>
                    </c:extLst>
                    <c:strCache>
                      <c:ptCount val="1"/>
                      <c:pt idx="0">
                        <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'[1]地区-消费'!$B$1:$M$1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'[1]地区-消费'!$B$10:$M$10</c15:sqref>
                        </c15:formulaRef>
                      </c:ext>
                    </c:extLst>
                    <c:numCache>
                      <c:formatCode>General</c:formatCode>
                      <c:ptCount val="12"/>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manualLayout>
          <c:xMode val="edge"/>
          <c:yMode val="edge"/>
          <c:x val="0.24167398430035"/>
          <c:y val="0.900891996221518"/>
          <c:w val="0.530988948962025"/>
          <c:h val="0.0700503034879046"/>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9c3b980-ca47-419d-a089-00fddf15b891}"/>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0.60793</cdr:x>
      <cdr:y>0.27494</cdr:y>
    </cdr:from>
    <cdr:to>
      <cdr:x>0.7304</cdr:x>
      <cdr:y>0.38082</cdr:y>
    </cdr:to>
    <cdr:sp>
      <cdr:nvSpPr>
        <cdr:cNvPr id="2" name="椭圆 1"/>
        <cdr:cNvSpPr/>
      </cdr:nvSpPr>
      <cdr:spPr xmlns:a="http://schemas.openxmlformats.org/drawingml/2006/main">
        <a:xfrm xmlns:a="http://schemas.openxmlformats.org/drawingml/2006/main" rot="21480000">
          <a:off x="3895614" y="841307"/>
          <a:ext cx="784800" cy="324000"/>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0.27574</cdr:x>
      <cdr:y>0.47252</cdr:y>
    </cdr:from>
    <cdr:to>
      <cdr:x>0.39821</cdr:x>
      <cdr:y>0.57891</cdr:y>
    </cdr:to>
    <cdr:sp>
      <cdr:nvSpPr>
        <cdr:cNvPr id="3" name="椭圆 2"/>
        <cdr:cNvSpPr/>
      </cdr:nvSpPr>
      <cdr:spPr xmlns:a="http://schemas.openxmlformats.org/drawingml/2006/main">
        <a:xfrm xmlns:a="http://schemas.openxmlformats.org/drawingml/2006/main" rot="21480000">
          <a:off x="1766911" y="1445911"/>
          <a:ext cx="784824" cy="325542"/>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2275</Words>
  <Characters>2695</Characters>
  <Lines>19</Lines>
  <Paragraphs>5</Paragraphs>
  <TotalTime>772</TotalTime>
  <ScaleCrop>false</ScaleCrop>
  <LinksUpToDate>false</LinksUpToDate>
  <CharactersWithSpaces>2713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2026-01-16T06:39:24Z</dcterms:modified>
  <cp:revision>900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B4D2CAFA6A074816A8CEFAB8E6312611_12</vt:lpwstr>
  </property>
</Properties>
</file>