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Start w:id="0" w:name="_Toc517262917"/>
      <w:bookmarkStart w:id="1" w:name="_Toc481801204"/>
      <w:bookmarkStart w:id="2" w:name="_Toc453597319"/>
      <w:bookmarkStart w:id="3" w:name="_Toc415818939"/>
      <w:bookmarkStart w:id="4" w:name="OLE_LINK13"/>
      <w:bookmarkStart w:id="5" w:name="_Toc418070112"/>
      <w:bookmarkStart w:id="6" w:name="_Toc438987549"/>
      <w:bookmarkStart w:id="7" w:name="OLE_LINK15"/>
      <w:bookmarkStart w:id="8" w:name="OLE_LINK24"/>
      <w:bookmarkStart w:id="9" w:name="_Toc415142861"/>
      <w:bookmarkStart w:id="10" w:name="_Toc415143481"/>
      <w:bookmarkStart w:id="11" w:name="OLE_LINK39"/>
      <w:bookmarkStart w:id="12" w:name="OLE_LINK40"/>
      <w:r>
        <w:rPr>
          <w:lang w:eastAsia="zh-CN"/>
        </w:rPr>
        <w:t>电机直线执行器</w:t>
      </w:r>
      <w:r>
        <w:rPr>
          <w:rFonts w:hint="eastAsia"/>
          <w:lang w:eastAsia="zh-CN"/>
        </w:rPr>
        <w:t>全球市场总体规模</w:t>
      </w:r>
    </w:p>
    <w:bookmarkEnd w:id="13"/>
    <w:p>
      <w:pPr>
        <w:pStyle w:val="145"/>
        <w:rPr>
          <w:lang w:eastAsia="zh-CN"/>
        </w:rPr>
      </w:pPr>
      <w:r>
        <w:drawing>
          <wp:inline distT="0" distB="0" distL="0" distR="0">
            <wp:extent cx="2312670" cy="1978660"/>
            <wp:effectExtent l="0" t="0" r="0" b="2540"/>
            <wp:docPr id="18" name="图片 18"/>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9"/>
                    <a:stretch>
                      <a:fillRect/>
                    </a:stretch>
                  </pic:blipFill>
                  <pic:spPr>
                    <a:xfrm>
                      <a:off x="0" y="0"/>
                      <a:ext cx="2312670" cy="1978660"/>
                    </a:xfrm>
                    <a:prstGeom prst="rect">
                      <a:avLst/>
                    </a:prstGeom>
                  </pic:spPr>
                </pic:pic>
              </a:graphicData>
            </a:graphic>
          </wp:inline>
        </w:drawing>
      </w:r>
    </w:p>
    <w:p>
      <w:pPr>
        <w:pStyle w:val="145"/>
        <w:rPr>
          <w:lang w:val="en-US" w:eastAsia="zh-CN"/>
        </w:rPr>
      </w:pPr>
      <w:r>
        <w:rPr>
          <w:rFonts w:hint="eastAsia"/>
          <w:lang w:eastAsia="zh-CN"/>
        </w:rPr>
        <w:t>据QYResearch调研团队最新报告“全球电机直线执行器市场报告2023-2029”显示，预计2029年全球电机直线执行器市场规模将达到101.6亿美元，未来几年年复合增长率CAGR为3.6%。</w:t>
      </w:r>
    </w:p>
    <w:p>
      <w:pPr>
        <w:pStyle w:val="148"/>
        <w:rPr>
          <w:lang w:eastAsia="zh-CN"/>
        </w:rPr>
      </w:pPr>
      <w:r>
        <w:rPr>
          <w:lang w:eastAsia="zh-CN"/>
        </w:rPr>
        <w:t>电机直线执行器</w:t>
      </w:r>
      <w:r>
        <w:rPr>
          <w:rFonts w:hint="eastAsia"/>
          <w:lang w:eastAsia="zh-CN"/>
        </w:rPr>
        <w:t>，全球市场总体规模</w:t>
      </w:r>
    </w:p>
    <w:p>
      <w:pPr>
        <w:pStyle w:val="145"/>
      </w:pPr>
      <w:r>
        <w:drawing>
          <wp:inline distT="0" distB="0" distL="0" distR="0">
            <wp:extent cx="6188710" cy="2886710"/>
            <wp:effectExtent l="0" t="0" r="2540" b="889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t>电机直线执行器</w:t>
      </w:r>
      <w:r>
        <w:rPr>
          <w:rFonts w:hint="eastAsia"/>
        </w:rPr>
        <w:t>市场研究报告2023-2029</w:t>
      </w:r>
      <w:r>
        <w:t>.</w:t>
      </w:r>
    </w:p>
    <w:p>
      <w:pPr>
        <w:pStyle w:val="145"/>
      </w:pPr>
    </w:p>
    <w:p>
      <w:pPr>
        <w:pStyle w:val="148"/>
        <w:rPr>
          <w:lang w:eastAsia="zh-CN"/>
        </w:rPr>
      </w:pPr>
      <w:r>
        <w:rPr>
          <w:rFonts w:hint="eastAsia"/>
          <w:lang w:eastAsia="zh-CN"/>
        </w:rPr>
        <w:t>全球</w:t>
      </w:r>
      <w:r>
        <w:rPr>
          <w:lang w:eastAsia="zh-CN"/>
        </w:rPr>
        <w:t>电机直线执行器</w:t>
      </w:r>
      <w:r>
        <w:rPr>
          <w:rFonts w:hint="eastAsia"/>
          <w:lang w:eastAsia="zh-CN"/>
        </w:rPr>
        <w:t>市场前</w:t>
      </w:r>
      <w:r>
        <w:rPr>
          <w:lang w:eastAsia="zh-CN"/>
        </w:rPr>
        <w:t>21</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如上图表/数据，摘自QYResearch报告“全球电机直线执行器市场研究报告2023-2029，排名基于2022数据。目前最新数据，以本公司最新调研数据为准。</w:t>
      </w:r>
    </w:p>
    <w:p>
      <w:pPr>
        <w:pStyle w:val="143"/>
      </w:pPr>
      <w:r>
        <w:t>.</w:t>
      </w:r>
    </w:p>
    <w:p>
      <w:pPr>
        <w:pStyle w:val="145"/>
      </w:pPr>
      <w:r>
        <w:rPr>
          <w:rFonts w:hint="eastAsia"/>
          <w:lang w:eastAsia="zh-CN"/>
        </w:rPr>
        <w:t>全球范围内电机直线执行器生产商主要包括Parker、Emerson、LINAK、THK、ABB、SKF、IAI、Honeywell、Auma、Tsubakimoto Chain等。2021年，全球前十强厂商占有大约27.0%的市场份额。</w:t>
      </w: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2024年全球电机直线执行器行业总体规模、主要企业国内外市场占有率及排名</w:t>
      </w:r>
    </w:p>
    <w:p>
      <w:pPr>
        <w:pStyle w:val="145"/>
        <w:rPr>
          <w:rFonts w:hint="eastAsia"/>
          <w:lang w:eastAsia="zh-CN"/>
        </w:rPr>
      </w:pPr>
      <w:r>
        <w:rPr>
          <w:rFonts w:hint="eastAsia"/>
          <w:lang w:eastAsia="zh-CN"/>
        </w:rPr>
        <w:t>根据研究团队调研统计，2023年全球电机直线执行器市场销售额达到了480亿元，预计2030年将达到704亿元，年复合增长率（CAGR）为4.4%（2024-2030）。中国市场在过去几年变化较快，2023年市场规模为 亿元，约占全球的 %，预计2030年将达到 亿元，届时全球占比将达到 %。</w:t>
      </w:r>
    </w:p>
    <w:p>
      <w:pPr>
        <w:pStyle w:val="145"/>
        <w:rPr>
          <w:rFonts w:hint="eastAsia"/>
          <w:lang w:eastAsia="zh-CN"/>
        </w:rPr>
      </w:pPr>
      <w:r>
        <w:rPr>
          <w:rFonts w:hint="eastAsia"/>
          <w:lang w:eastAsia="zh-CN"/>
        </w:rPr>
        <w:t>电机直线执行器（Motorized Linear Actuators）的核心厂商包括Parker、Emerson、LINAK、THK、ABB等等。前五大厂商在全球拥有超过18%的市场份额。核心厂商主要集中在欧洲，北美，日本，中国，中国台湾等地区。</w:t>
      </w:r>
    </w:p>
    <w:p>
      <w:pPr>
        <w:pStyle w:val="145"/>
        <w:rPr>
          <w:rFonts w:hint="eastAsia"/>
          <w:lang w:eastAsia="zh-CN"/>
        </w:rPr>
      </w:pPr>
      <w:r>
        <w:rPr>
          <w:rFonts w:hint="eastAsia"/>
          <w:lang w:eastAsia="zh-CN"/>
        </w:rPr>
        <w:t>本文侧重研究全球电机直线执行器总体规模及主要厂商占有率和排名，主要统计指标包括电机直线执行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Parker</w:t>
      </w:r>
    </w:p>
    <w:p>
      <w:pPr>
        <w:pStyle w:val="145"/>
        <w:rPr>
          <w:rFonts w:hint="eastAsia"/>
          <w:lang w:eastAsia="zh-CN"/>
        </w:rPr>
      </w:pPr>
      <w:r>
        <w:rPr>
          <w:rFonts w:hint="eastAsia"/>
          <w:lang w:eastAsia="zh-CN"/>
        </w:rPr>
        <w:t xml:space="preserve">    艾默生</w:t>
      </w:r>
    </w:p>
    <w:p>
      <w:pPr>
        <w:pStyle w:val="145"/>
        <w:rPr>
          <w:rFonts w:hint="eastAsia"/>
          <w:lang w:eastAsia="zh-CN"/>
        </w:rPr>
      </w:pPr>
      <w:r>
        <w:rPr>
          <w:rFonts w:hint="eastAsia"/>
          <w:lang w:eastAsia="zh-CN"/>
        </w:rPr>
        <w:t xml:space="preserve">    LINAK</w:t>
      </w:r>
    </w:p>
    <w:p>
      <w:pPr>
        <w:pStyle w:val="145"/>
        <w:rPr>
          <w:rFonts w:hint="eastAsia"/>
          <w:lang w:eastAsia="zh-CN"/>
        </w:rPr>
      </w:pPr>
      <w:r>
        <w:rPr>
          <w:rFonts w:hint="eastAsia"/>
          <w:lang w:eastAsia="zh-CN"/>
        </w:rPr>
        <w:t xml:space="preserve">    THK</w:t>
      </w:r>
    </w:p>
    <w:p>
      <w:pPr>
        <w:pStyle w:val="145"/>
        <w:rPr>
          <w:rFonts w:hint="eastAsia"/>
          <w:lang w:eastAsia="zh-CN"/>
        </w:rPr>
      </w:pPr>
      <w:r>
        <w:rPr>
          <w:rFonts w:hint="eastAsia"/>
          <w:lang w:eastAsia="zh-CN"/>
        </w:rPr>
        <w:t xml:space="preserve">    ABB</w:t>
      </w:r>
    </w:p>
    <w:p>
      <w:pPr>
        <w:pStyle w:val="145"/>
        <w:rPr>
          <w:rFonts w:hint="eastAsia"/>
          <w:lang w:eastAsia="zh-CN"/>
        </w:rPr>
      </w:pPr>
      <w:r>
        <w:rPr>
          <w:rFonts w:hint="eastAsia"/>
          <w:lang w:eastAsia="zh-CN"/>
        </w:rPr>
        <w:t xml:space="preserve">    SKF</w:t>
      </w:r>
    </w:p>
    <w:p>
      <w:pPr>
        <w:pStyle w:val="145"/>
        <w:rPr>
          <w:rFonts w:hint="eastAsia"/>
          <w:lang w:eastAsia="zh-CN"/>
        </w:rPr>
      </w:pPr>
      <w:r>
        <w:rPr>
          <w:rFonts w:hint="eastAsia"/>
          <w:lang w:eastAsia="zh-CN"/>
        </w:rPr>
        <w:t xml:space="preserve">    IAI</w:t>
      </w:r>
    </w:p>
    <w:p>
      <w:pPr>
        <w:pStyle w:val="145"/>
        <w:rPr>
          <w:rFonts w:hint="eastAsia"/>
          <w:lang w:eastAsia="zh-CN"/>
        </w:rPr>
      </w:pPr>
      <w:r>
        <w:rPr>
          <w:rFonts w:hint="eastAsia"/>
          <w:lang w:eastAsia="zh-CN"/>
        </w:rPr>
        <w:t xml:space="preserve">    Honeywell</w:t>
      </w:r>
    </w:p>
    <w:p>
      <w:pPr>
        <w:pStyle w:val="145"/>
        <w:rPr>
          <w:rFonts w:hint="eastAsia"/>
          <w:lang w:eastAsia="zh-CN"/>
        </w:rPr>
      </w:pPr>
      <w:r>
        <w:rPr>
          <w:rFonts w:hint="eastAsia"/>
          <w:lang w:eastAsia="zh-CN"/>
        </w:rPr>
        <w:t xml:space="preserve">    Auma</w:t>
      </w:r>
    </w:p>
    <w:p>
      <w:pPr>
        <w:pStyle w:val="145"/>
        <w:rPr>
          <w:rFonts w:hint="eastAsia"/>
          <w:lang w:eastAsia="zh-CN"/>
        </w:rPr>
      </w:pPr>
      <w:r>
        <w:rPr>
          <w:rFonts w:hint="eastAsia"/>
          <w:lang w:eastAsia="zh-CN"/>
        </w:rPr>
        <w:t xml:space="preserve">    Tsubakimoto Chain</w:t>
      </w:r>
    </w:p>
    <w:p>
      <w:pPr>
        <w:pStyle w:val="145"/>
        <w:rPr>
          <w:rFonts w:hint="eastAsia"/>
          <w:lang w:eastAsia="zh-CN"/>
        </w:rPr>
      </w:pPr>
      <w:r>
        <w:rPr>
          <w:rFonts w:hint="eastAsia"/>
          <w:lang w:eastAsia="zh-CN"/>
        </w:rPr>
        <w:t xml:space="preserve">    Kollmorgen</w:t>
      </w:r>
    </w:p>
    <w:p>
      <w:pPr>
        <w:pStyle w:val="145"/>
        <w:rPr>
          <w:rFonts w:hint="eastAsia"/>
          <w:lang w:eastAsia="zh-CN"/>
        </w:rPr>
      </w:pPr>
      <w:r>
        <w:rPr>
          <w:rFonts w:hint="eastAsia"/>
          <w:lang w:eastAsia="zh-CN"/>
        </w:rPr>
        <w:t xml:space="preserve">    Moteck Electric</w:t>
      </w:r>
    </w:p>
    <w:p>
      <w:pPr>
        <w:pStyle w:val="145"/>
        <w:rPr>
          <w:rFonts w:hint="eastAsia"/>
          <w:lang w:eastAsia="zh-CN"/>
        </w:rPr>
      </w:pPr>
      <w:r>
        <w:rPr>
          <w:rFonts w:hint="eastAsia"/>
          <w:lang w:eastAsia="zh-CN"/>
        </w:rPr>
        <w:t xml:space="preserve">    Chiaphua Components</w:t>
      </w:r>
    </w:p>
    <w:p>
      <w:pPr>
        <w:pStyle w:val="145"/>
        <w:rPr>
          <w:rFonts w:hint="eastAsia"/>
          <w:lang w:eastAsia="zh-CN"/>
        </w:rPr>
      </w:pPr>
      <w:r>
        <w:rPr>
          <w:rFonts w:hint="eastAsia"/>
          <w:lang w:eastAsia="zh-CN"/>
        </w:rPr>
        <w:t xml:space="preserve">    NSK Americas</w:t>
      </w:r>
    </w:p>
    <w:p>
      <w:pPr>
        <w:pStyle w:val="145"/>
        <w:rPr>
          <w:rFonts w:hint="eastAsia"/>
          <w:lang w:eastAsia="zh-CN"/>
        </w:rPr>
      </w:pPr>
      <w:r>
        <w:rPr>
          <w:rFonts w:hint="eastAsia"/>
          <w:lang w:eastAsia="zh-CN"/>
        </w:rPr>
        <w:t xml:space="preserve">    Physik Instrumente</w:t>
      </w:r>
    </w:p>
    <w:p>
      <w:pPr>
        <w:pStyle w:val="145"/>
        <w:rPr>
          <w:rFonts w:hint="eastAsia"/>
          <w:lang w:eastAsia="zh-CN"/>
        </w:rPr>
      </w:pPr>
      <w:r>
        <w:rPr>
          <w:rFonts w:hint="eastAsia"/>
          <w:lang w:eastAsia="zh-CN"/>
        </w:rPr>
        <w:t xml:space="preserve">    Thorlabs</w:t>
      </w:r>
    </w:p>
    <w:p>
      <w:pPr>
        <w:pStyle w:val="145"/>
        <w:rPr>
          <w:rFonts w:hint="eastAsia"/>
          <w:lang w:eastAsia="zh-CN"/>
        </w:rPr>
      </w:pPr>
      <w:r>
        <w:rPr>
          <w:rFonts w:hint="eastAsia"/>
          <w:lang w:eastAsia="zh-CN"/>
        </w:rPr>
        <w:t xml:space="preserve">    Nook Industries</w:t>
      </w:r>
    </w:p>
    <w:p>
      <w:pPr>
        <w:pStyle w:val="145"/>
        <w:rPr>
          <w:rFonts w:hint="eastAsia"/>
          <w:lang w:eastAsia="zh-CN"/>
        </w:rPr>
      </w:pPr>
      <w:r>
        <w:rPr>
          <w:rFonts w:hint="eastAsia"/>
          <w:lang w:eastAsia="zh-CN"/>
        </w:rPr>
        <w:t xml:space="preserve">    Zaber</w:t>
      </w:r>
    </w:p>
    <w:p>
      <w:pPr>
        <w:pStyle w:val="145"/>
        <w:rPr>
          <w:rFonts w:hint="eastAsia"/>
          <w:lang w:eastAsia="zh-CN"/>
        </w:rPr>
      </w:pPr>
      <w:r>
        <w:rPr>
          <w:rFonts w:hint="eastAsia"/>
          <w:lang w:eastAsia="zh-CN"/>
        </w:rPr>
        <w:t xml:space="preserve">    TiMOTION Technology</w:t>
      </w:r>
    </w:p>
    <w:p>
      <w:pPr>
        <w:pStyle w:val="145"/>
        <w:rPr>
          <w:rFonts w:hint="eastAsia"/>
          <w:lang w:eastAsia="zh-CN"/>
        </w:rPr>
      </w:pPr>
      <w:r>
        <w:rPr>
          <w:rFonts w:hint="eastAsia"/>
          <w:lang w:eastAsia="zh-CN"/>
        </w:rPr>
        <w:t xml:space="preserve">    Progressive Automations</w:t>
      </w:r>
    </w:p>
    <w:p>
      <w:pPr>
        <w:pStyle w:val="145"/>
        <w:rPr>
          <w:rFonts w:hint="eastAsia"/>
          <w:lang w:eastAsia="zh-CN"/>
        </w:rPr>
      </w:pPr>
      <w:r>
        <w:rPr>
          <w:rFonts w:hint="eastAsia"/>
          <w:lang w:eastAsia="zh-CN"/>
        </w:rPr>
        <w:t xml:space="preserve">    Actuonix Motion Devices</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气动直线执行器</w:t>
      </w:r>
    </w:p>
    <w:p>
      <w:pPr>
        <w:pStyle w:val="145"/>
        <w:rPr>
          <w:rFonts w:hint="eastAsia"/>
          <w:lang w:eastAsia="zh-CN"/>
        </w:rPr>
      </w:pPr>
      <w:r>
        <w:rPr>
          <w:rFonts w:hint="eastAsia"/>
          <w:lang w:eastAsia="zh-CN"/>
        </w:rPr>
        <w:t xml:space="preserve">    液压直线执行器</w:t>
      </w:r>
    </w:p>
    <w:p>
      <w:pPr>
        <w:pStyle w:val="145"/>
        <w:rPr>
          <w:rFonts w:hint="eastAsia"/>
          <w:lang w:eastAsia="zh-CN"/>
        </w:rPr>
      </w:pPr>
      <w:r>
        <w:rPr>
          <w:rFonts w:hint="eastAsia"/>
          <w:lang w:eastAsia="zh-CN"/>
        </w:rPr>
        <w:t xml:space="preserve">    电动直线执行器</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医疗</w:t>
      </w:r>
    </w:p>
    <w:p>
      <w:pPr>
        <w:pStyle w:val="145"/>
        <w:rPr>
          <w:rFonts w:hint="eastAsia"/>
          <w:lang w:eastAsia="zh-CN"/>
        </w:rPr>
      </w:pPr>
      <w:r>
        <w:rPr>
          <w:rFonts w:hint="eastAsia"/>
          <w:lang w:eastAsia="zh-CN"/>
        </w:rPr>
        <w:t xml:space="preserve">    汽车</w:t>
      </w:r>
    </w:p>
    <w:p>
      <w:pPr>
        <w:pStyle w:val="145"/>
        <w:rPr>
          <w:rFonts w:hint="eastAsia"/>
          <w:lang w:eastAsia="zh-CN"/>
        </w:rPr>
      </w:pPr>
      <w:r>
        <w:rPr>
          <w:rFonts w:hint="eastAsia"/>
          <w:lang w:eastAsia="zh-CN"/>
        </w:rPr>
        <w:t xml:space="preserve">    工业</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中国大陆</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中国台湾</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第4章：全球电机直线执行器主要地区分析，包括销量、销售收入等</w:t>
      </w:r>
    </w:p>
    <w:p>
      <w:pPr>
        <w:pStyle w:val="145"/>
        <w:rPr>
          <w:rFonts w:hint="eastAsia"/>
          <w:lang w:eastAsia="zh-CN"/>
        </w:rPr>
      </w:pPr>
      <w:r>
        <w:rPr>
          <w:rFonts w:hint="eastAsia"/>
          <w:lang w:eastAsia="zh-CN"/>
        </w:rPr>
        <w:t>第5章：全球电机直线执行器主要厂商基本情况介绍，包括公司简介、电机直线执行器产品型号、销量、收入、价格及最新动态等</w:t>
      </w:r>
    </w:p>
    <w:p>
      <w:pPr>
        <w:pStyle w:val="145"/>
        <w:rPr>
          <w:rFonts w:hint="eastAsia"/>
          <w:lang w:eastAsia="zh-CN"/>
        </w:rPr>
      </w:pPr>
      <w:r>
        <w:rPr>
          <w:rFonts w:hint="eastAsia"/>
          <w:lang w:eastAsia="zh-CN"/>
        </w:rPr>
        <w:t>第6章：全球不同产品类型电机直线执行器销量、收入、价格及份额等</w:t>
      </w:r>
    </w:p>
    <w:p>
      <w:pPr>
        <w:pStyle w:val="145"/>
        <w:rPr>
          <w:rFonts w:hint="eastAsia"/>
          <w:lang w:eastAsia="zh-CN"/>
        </w:rPr>
      </w:pPr>
      <w:r>
        <w:rPr>
          <w:rFonts w:hint="eastAsia"/>
          <w:lang w:eastAsia="zh-CN"/>
        </w:rPr>
        <w:t>第7章：全球不同应用电机直线执行器销量、收入、价格及份额等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rFonts w:hint="eastAsia"/>
      </w:rPr>
      <w:t>2024年全球电机直线执行器行业总体规模、主要企业国内外市场占有率及排名</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35F"/>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731"/>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6127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esktop\Motorized%20Linear%20Actuators%20&#30005;&#26426;&#30452;&#32447;&#25191;&#34892;&#22120;\&#35266;&#28857;&#25968;&#25454;&#22270;&#34920;&#27169;&#26495;-&#20840;&#29699;20231017%20&#23454;&#20064;&#21516;&#23398;.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Motorized%20Linear%20Actuators%20&#30005;&#26426;&#30452;&#32447;&#25191;&#34892;&#22120;\&#35266;&#28857;&#25968;&#25454;&#22270;&#34920;&#27169;&#26495;-&#20840;&#29699;20231017%20&#23454;&#20064;&#21516;&#2339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7074.22</c:v>
                </c:pt>
                <c:pt idx="1">
                  <c:v>8014.1</c:v>
                </c:pt>
                <c:pt idx="2">
                  <c:v>10156.3659298138</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Lbls>
            <c:delete val="1"/>
          </c:dLbls>
          <c:cat>
            <c:strRef>
              <c:f>企业排序!$F$2:$F$25</c:f>
              <c:strCache>
                <c:ptCount val="21"/>
                <c:pt idx="0">
                  <c:v>Actuonix Motion Devices</c:v>
                </c:pt>
                <c:pt idx="1">
                  <c:v>Progressive Automations</c:v>
                </c:pt>
                <c:pt idx="2">
                  <c:v>TiMOTION Technology</c:v>
                </c:pt>
                <c:pt idx="3">
                  <c:v>Zaber</c:v>
                </c:pt>
                <c:pt idx="4">
                  <c:v>Nook Industries</c:v>
                </c:pt>
                <c:pt idx="5">
                  <c:v>Thorlabs</c:v>
                </c:pt>
                <c:pt idx="6">
                  <c:v>Physik Instrumente</c:v>
                </c:pt>
                <c:pt idx="7">
                  <c:v>NSK Americas</c:v>
                </c:pt>
                <c:pt idx="8">
                  <c:v>Chiaphua Components</c:v>
                </c:pt>
                <c:pt idx="9">
                  <c:v>Moteck Electric</c:v>
                </c:pt>
                <c:pt idx="10">
                  <c:v>Kollmorgen</c:v>
                </c:pt>
                <c:pt idx="11">
                  <c:v>Tsubakimoto Chain</c:v>
                </c:pt>
                <c:pt idx="12">
                  <c:v>Auma</c:v>
                </c:pt>
                <c:pt idx="13">
                  <c:v>Honeywell</c:v>
                </c:pt>
                <c:pt idx="14">
                  <c:v>IAI</c:v>
                </c:pt>
                <c:pt idx="15">
                  <c:v>SKF</c:v>
                </c:pt>
                <c:pt idx="16">
                  <c:v>ABB</c:v>
                </c:pt>
                <c:pt idx="17">
                  <c:v>THK</c:v>
                </c:pt>
                <c:pt idx="18">
                  <c:v>LINAK</c:v>
                </c:pt>
                <c:pt idx="19">
                  <c:v>Emerson</c:v>
                </c:pt>
                <c:pt idx="20">
                  <c:v>Parker</c:v>
                </c:pt>
              </c:strCache>
            </c:strRef>
          </c:cat>
          <c:val>
            <c:numRef>
              <c:f>企业排序!$G$2:$G$25</c:f>
              <c:numCache>
                <c:formatCode>#,##0.00_ </c:formatCode>
                <c:ptCount val="21"/>
                <c:pt idx="0">
                  <c:v>2.33</c:v>
                </c:pt>
                <c:pt idx="1">
                  <c:v>4.95</c:v>
                </c:pt>
                <c:pt idx="2">
                  <c:v>6.58</c:v>
                </c:pt>
                <c:pt idx="3">
                  <c:v>6.72</c:v>
                </c:pt>
                <c:pt idx="4">
                  <c:v>9.62</c:v>
                </c:pt>
                <c:pt idx="5">
                  <c:v>10.34</c:v>
                </c:pt>
                <c:pt idx="6">
                  <c:v>16.44</c:v>
                </c:pt>
                <c:pt idx="7">
                  <c:v>23.32</c:v>
                </c:pt>
                <c:pt idx="8">
                  <c:v>29.82</c:v>
                </c:pt>
                <c:pt idx="9">
                  <c:v>33.7</c:v>
                </c:pt>
                <c:pt idx="10">
                  <c:v>56.51</c:v>
                </c:pt>
                <c:pt idx="11">
                  <c:v>74.77</c:v>
                </c:pt>
                <c:pt idx="12">
                  <c:v>113.84</c:v>
                </c:pt>
                <c:pt idx="13">
                  <c:v>158.37</c:v>
                </c:pt>
                <c:pt idx="14">
                  <c:v>171.45</c:v>
                </c:pt>
                <c:pt idx="15">
                  <c:v>189.57</c:v>
                </c:pt>
                <c:pt idx="16">
                  <c:v>194.04</c:v>
                </c:pt>
                <c:pt idx="17">
                  <c:v>201.74</c:v>
                </c:pt>
                <c:pt idx="18">
                  <c:v>252.38</c:v>
                </c:pt>
                <c:pt idx="19">
                  <c:v>342.8</c:v>
                </c:pt>
                <c:pt idx="20">
                  <c:v>445.65</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0.55078</cdr:x>
      <cdr:y>0.23401</cdr:y>
    </cdr:from>
    <cdr:to>
      <cdr:x>0.74446</cdr:x>
      <cdr:y>0.38049</cdr:y>
    </cdr:to>
    <cdr:cxnSp>
      <cdr:nvCxnSpPr>
        <cdr:cNvPr id="2" name="直接箭头连接符 1"/>
        <cdr:cNvCxnSpPr/>
      </cdr:nvCxnSpPr>
      <cdr:spPr xmlns:a="http://schemas.openxmlformats.org/drawingml/2006/main">
        <a:xfrm xmlns:a="http://schemas.openxmlformats.org/drawingml/2006/main" flipV="1">
          <a:off x="3612259" y="716071"/>
          <a:ext cx="1270239" cy="448228"/>
        </a:xfrm>
        <a:prstGeom xmlns:a="http://schemas.openxmlformats.org/drawingml/2006/main" prst="straightConnector1">
          <a:avLst/>
        </a:prstGeom>
        <a:solidFill>
          <a:srgbClr val="FFC000"/>
        </a:solid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0.57349</cdr:x>
      <cdr:y>0.26379</cdr:y>
    </cdr:from>
    <cdr:to>
      <cdr:x>0.709</cdr:x>
      <cdr:y>0.35696</cdr:y>
    </cdr:to>
    <cdr:sp>
      <cdr:nvSpPr>
        <cdr:cNvPr id="3" name="椭圆 2"/>
        <cdr:cNvSpPr/>
      </cdr:nvSpPr>
      <cdr:spPr xmlns:a="http://schemas.openxmlformats.org/drawingml/2006/main">
        <a:xfrm xmlns:a="http://schemas.openxmlformats.org/drawingml/2006/main" rot="20477554">
          <a:off x="3761181" y="807183"/>
          <a:ext cx="888776" cy="285126"/>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3.6%</a:t>
          </a:r>
          <a:endParaRPr lang="zh-CN" baseline="0">
            <a:solidFill>
              <a:sysClr val="windowText" lastClr="000000"/>
            </a:solidFill>
            <a:latin typeface="Book Antiqua" panose="02040602050305030304" pitchFamily="1" charset="0"/>
            <a:ea typeface="宋体" panose="02010600030101010101" charset="-122"/>
          </a:endParaRPr>
        </a:p>
      </cdr:txBody>
    </cdr:sp>
  </cdr:relSizeAnchor>
  <cdr:relSizeAnchor xmlns:cdr="http://schemas.openxmlformats.org/drawingml/2006/chartDrawing">
    <cdr:from>
      <cdr:x>0.26614</cdr:x>
      <cdr:y>0.14777</cdr:y>
    </cdr:from>
    <cdr:to>
      <cdr:x>0.38897</cdr:x>
      <cdr:y>0.63701</cdr:y>
    </cdr:to>
    <cdr:grpSp>
      <cdr:nvGrpSpPr>
        <cdr:cNvPr id="4" name="组合 3"/>
        <cdr:cNvGrpSpPr/>
      </cdr:nvGrpSpPr>
      <cdr:grpSpPr xmlns:a="http://schemas.openxmlformats.org/drawingml/2006/main">
        <a:xfrm rot="2840414">
          <a:off x="1320996" y="752637"/>
          <a:ext cx="1412294" cy="760159"/>
          <a:chOff x="3014141" y="1779723"/>
          <a:chExt cx="1170560" cy="814928"/>
        </a:xfrm>
      </cdr:grpSpPr>
      <cdr:cxnSp>
        <cdr:nvCxnSpPr>
          <cdr:cNvPr id="5" name="直接箭头连接符 4"/>
          <cdr:cNvCxnSpPr/>
        </cdr:nvCxnSpPr>
        <cdr:spPr xmlns:a="http://schemas.openxmlformats.org/drawingml/2006/main">
          <a:xfrm xmlns:a="http://schemas.openxmlformats.org/drawingml/2006/main" rot="19816677" flipV="1">
            <a:off x="3014141" y="1818573"/>
            <a:ext cx="1170560" cy="69152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6" name="椭圆 5"/>
          <cdr:cNvSpPr/>
        </cdr:nvSpPr>
        <cdr:spPr xmlns:a="http://schemas.openxmlformats.org/drawingml/2006/main">
          <a:xfrm xmlns:a="http://schemas.openxmlformats.org/drawingml/2006/main" rot="18358947">
            <a:off x="3177981" y="2099589"/>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latin typeface="Book Antiqua" panose="02040602050305030304" pitchFamily="1" charset="0"/>
              </a:rPr>
              <a:t>3.2%</a:t>
            </a:r>
            <a:endParaRPr lang="zh-CN">
              <a:solidFill>
                <a:sysClr val="windowText" lastClr="000000"/>
              </a:solidFill>
              <a:latin typeface="Book Antiqua" panose="02040602050305030304" pitchFamily="1" charset="0"/>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C9920E-7756-4F96-AFC5-2E0690CA08E4}">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150</Words>
  <Characters>856</Characters>
  <Lines>7</Lines>
  <Paragraphs>2</Paragraphs>
  <TotalTime>644</TotalTime>
  <ScaleCrop>false</ScaleCrop>
  <LinksUpToDate>false</LinksUpToDate>
  <CharactersWithSpaces>1004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2024-01-23T03:28:18Z</dcterms:modified>
  <cp:revision>800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12117A4F1E5B48249B4CE13DBF8800A6_13</vt:lpwstr>
  </property>
</Properties>
</file>