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6" w:type="first"/>
          <w:headerReference r:id="rId4" w:type="default"/>
          <w:headerReference r:id="rId5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_Toc453597319"/>
      <w:bookmarkStart w:id="2" w:name="_Toc481801204"/>
      <w:bookmarkStart w:id="3" w:name="OLE_LINK39"/>
      <w:bookmarkStart w:id="4" w:name="_Toc438987549"/>
      <w:bookmarkStart w:id="5" w:name="OLE_LINK40"/>
      <w:bookmarkStart w:id="6" w:name="_Toc415818939"/>
      <w:bookmarkStart w:id="7" w:name="_Toc418070112"/>
      <w:bookmarkStart w:id="8" w:name="_Hlk23501351"/>
      <w:bookmarkStart w:id="9" w:name="OLE_LINK15"/>
      <w:bookmarkStart w:id="10" w:name="OLE_LINK13"/>
      <w:bookmarkStart w:id="11" w:name="_Toc415142861"/>
      <w:bookmarkStart w:id="12" w:name="_Toc415143481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静态代码分析软件，全球市场研究报告2023-2029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静态代码分析软件，全球市场研究报告2023-2029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静态代码分析软件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根据调研团队最新报告“全球静态代码分析软件市场报告2023-2029”显示，预计2029年全球静态代码分析软件市场规模将达到15.5亿美元，未来几年年复合增长率CAGR为7.7%。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静态代码分析软件，也称为源代码分析软件，有时也可以称为静态分析软件，用于扫描项目中的所有代码并查找漏洞，根据行业最佳实践验证代码，有些软件工具针对公司特定的代码进行项目规范验证。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5285105" cy="3733165"/>
            <wp:effectExtent l="0" t="0" r="1079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5714" cy="3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8"/>
        <w:rPr>
          <w:lang w:eastAsia="zh-CN"/>
        </w:rPr>
      </w:pPr>
      <w:r>
        <w:rPr>
          <w:lang w:eastAsia="zh-CN"/>
        </w:rPr>
        <w:t>静态代码分析软件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114864105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如上图表/数据，摘自QYResearch最新报告”全球静态代码分析软件市场研究报告2023-2029”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静态代码分析软件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03212582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如上图表/数据，摘自QYResearch最新报告”全球静态代码分析软件市场研究报告2023-2029”</w:t>
      </w:r>
    </w:p>
    <w:p>
      <w:pPr>
        <w:pStyle w:val="145"/>
      </w:pPr>
      <w:r>
        <w:rPr>
          <w:rFonts w:hint="eastAsia"/>
          <w:lang w:eastAsia="zh-CN"/>
        </w:rPr>
        <w:t>全球范围内，静态代码分析软件 主要生产商包括Synopsys, SonarSource, Checkmarx, JetBrains, Veracode, Micro Focus, Perforce (Klocwork), HCL Technologies, Parasoft, Idera (Kiuwan)等，其中前五大厂商2022年占有大约 59.0%的市场份额。</w:t>
      </w:r>
    </w:p>
    <w:p>
      <w:pPr>
        <w:pStyle w:val="145"/>
      </w:pPr>
    </w:p>
    <w:p>
      <w:pPr>
        <w:pStyle w:val="145"/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静态代码分析软件</w:t>
      </w:r>
      <w:r>
        <w:rPr>
          <w:rFonts w:hint="eastAsia"/>
          <w:lang w:eastAsia="zh-CN"/>
        </w:rPr>
        <w:t>，全球市场规模，按产品类型细分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229350" cy="2871470"/>
            <wp:effectExtent l="0" t="0" r="0" b="5080"/>
            <wp:docPr id="11142117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211708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2930" cy="28735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11430"/>
            <wp:docPr id="6983758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如上图表/数据，摘自QYResearch最新报告”全球静态代码分析软件市场研究报告2023-2029”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就产品类型而言，目前Cloud Based是最主要的细分产品，占据大约58.2%的份额。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静态代码分析软件</w:t>
      </w:r>
      <w:r>
        <w:rPr>
          <w:rFonts w:hint="eastAsia"/>
          <w:lang w:eastAsia="zh-CN"/>
        </w:rPr>
        <w:t>，全球市场规模，按应用细分</w:t>
      </w:r>
    </w:p>
    <w:p>
      <w:pPr>
        <w:pStyle w:val="145"/>
      </w:pPr>
      <w:r>
        <w:drawing>
          <wp:inline distT="0" distB="0" distL="0" distR="0">
            <wp:extent cx="6191250" cy="2853690"/>
            <wp:effectExtent l="0" t="0" r="0" b="3810"/>
            <wp:docPr id="150936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625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7804" cy="2857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7535514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如上图表/数据，摘自QYResearch最新报告”全球静态代码分析软件市场研究报告2023-2029”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就产品应用而言，目前Large Enterprises是最主要的需求来源，占据大约68.2%的份额。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静态代码分析软件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5908040" cy="3059430"/>
            <wp:effectExtent l="0" t="0" r="16510" b="7620"/>
            <wp:docPr id="172068806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11430"/>
            <wp:docPr id="153083214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如上图表/数据，摘自QYResearch最新报告”全球静态代码分析软件市场研究报告2023-2029”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017B58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5847419"/>
    <w:rsid w:val="068560C3"/>
    <w:rsid w:val="070A2A99"/>
    <w:rsid w:val="07287ACA"/>
    <w:rsid w:val="07531178"/>
    <w:rsid w:val="07CE3ADB"/>
    <w:rsid w:val="07E72487"/>
    <w:rsid w:val="086D0162"/>
    <w:rsid w:val="09523C57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0A122D5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6A61C36"/>
    <w:rsid w:val="170809D5"/>
    <w:rsid w:val="171325EA"/>
    <w:rsid w:val="17263809"/>
    <w:rsid w:val="175355D1"/>
    <w:rsid w:val="18147C0E"/>
    <w:rsid w:val="182A5635"/>
    <w:rsid w:val="184461DF"/>
    <w:rsid w:val="184738E0"/>
    <w:rsid w:val="18B9619D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0A7327"/>
    <w:rsid w:val="1C27133D"/>
    <w:rsid w:val="1C492B76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EDA542E"/>
    <w:rsid w:val="1F0D1100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A8A1A57"/>
    <w:rsid w:val="2A976B6E"/>
    <w:rsid w:val="2B5449A3"/>
    <w:rsid w:val="2C06004A"/>
    <w:rsid w:val="2C0C4151"/>
    <w:rsid w:val="2C856399"/>
    <w:rsid w:val="2C971B37"/>
    <w:rsid w:val="2CE72BBB"/>
    <w:rsid w:val="2D090B71"/>
    <w:rsid w:val="2D9716DA"/>
    <w:rsid w:val="2D9A265E"/>
    <w:rsid w:val="2ED33660"/>
    <w:rsid w:val="2EF9001C"/>
    <w:rsid w:val="2EFD44A4"/>
    <w:rsid w:val="2F107C41"/>
    <w:rsid w:val="2F5603B6"/>
    <w:rsid w:val="2F964A23"/>
    <w:rsid w:val="2FBF4562"/>
    <w:rsid w:val="30711E07"/>
    <w:rsid w:val="30A844DF"/>
    <w:rsid w:val="314F5F72"/>
    <w:rsid w:val="31BC43A8"/>
    <w:rsid w:val="31C02DAE"/>
    <w:rsid w:val="31C10830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2A1B78"/>
    <w:rsid w:val="3A522D3D"/>
    <w:rsid w:val="3A864490"/>
    <w:rsid w:val="3AC37B79"/>
    <w:rsid w:val="3BAF51F7"/>
    <w:rsid w:val="3CCE564F"/>
    <w:rsid w:val="3CF93F15"/>
    <w:rsid w:val="3D666AC7"/>
    <w:rsid w:val="3D6F51D8"/>
    <w:rsid w:val="3D947997"/>
    <w:rsid w:val="3E2171FA"/>
    <w:rsid w:val="3E9704BE"/>
    <w:rsid w:val="3F2D1CB6"/>
    <w:rsid w:val="3F721126"/>
    <w:rsid w:val="3F9F0CF0"/>
    <w:rsid w:val="40277950"/>
    <w:rsid w:val="406F7D44"/>
    <w:rsid w:val="40F634A0"/>
    <w:rsid w:val="41E356A7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8F07DB8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DA457ED"/>
    <w:rsid w:val="508942AC"/>
    <w:rsid w:val="508A77AF"/>
    <w:rsid w:val="508F1A38"/>
    <w:rsid w:val="50F25EDA"/>
    <w:rsid w:val="511C03A3"/>
    <w:rsid w:val="51656219"/>
    <w:rsid w:val="51804844"/>
    <w:rsid w:val="51ED73F6"/>
    <w:rsid w:val="52133DB3"/>
    <w:rsid w:val="522762D7"/>
    <w:rsid w:val="52817C6A"/>
    <w:rsid w:val="52D41C73"/>
    <w:rsid w:val="52E80913"/>
    <w:rsid w:val="53121757"/>
    <w:rsid w:val="53362C11"/>
    <w:rsid w:val="533F1322"/>
    <w:rsid w:val="53832D10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0A5625"/>
    <w:rsid w:val="591D6844"/>
    <w:rsid w:val="59227449"/>
    <w:rsid w:val="597A115C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9B1744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70558C"/>
    <w:rsid w:val="62C01E93"/>
    <w:rsid w:val="62C06610"/>
    <w:rsid w:val="62CF6C2B"/>
    <w:rsid w:val="62E123C8"/>
    <w:rsid w:val="633F4960"/>
    <w:rsid w:val="63F97611"/>
    <w:rsid w:val="640843A9"/>
    <w:rsid w:val="642B10E5"/>
    <w:rsid w:val="648B4982"/>
    <w:rsid w:val="64AF38BD"/>
    <w:rsid w:val="64E46044"/>
    <w:rsid w:val="64F81987"/>
    <w:rsid w:val="650249CE"/>
    <w:rsid w:val="650D74DA"/>
    <w:rsid w:val="65811A17"/>
    <w:rsid w:val="66BC5F1C"/>
    <w:rsid w:val="66D222BD"/>
    <w:rsid w:val="68A97CC5"/>
    <w:rsid w:val="68C22DEE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A0288E"/>
    <w:rsid w:val="6EB3022A"/>
    <w:rsid w:val="6F1624CD"/>
    <w:rsid w:val="6F21085E"/>
    <w:rsid w:val="6F32657A"/>
    <w:rsid w:val="6F9D14AD"/>
    <w:rsid w:val="6FF96343"/>
    <w:rsid w:val="700468D2"/>
    <w:rsid w:val="70460641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4DA5B41"/>
    <w:rsid w:val="74FE287D"/>
    <w:rsid w:val="75286F45"/>
    <w:rsid w:val="761B77D2"/>
    <w:rsid w:val="77035551"/>
    <w:rsid w:val="77A43A56"/>
    <w:rsid w:val="78574EC9"/>
    <w:rsid w:val="787466AD"/>
    <w:rsid w:val="78967EE6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7776E4"/>
    <w:rsid w:val="7D817FF3"/>
    <w:rsid w:val="7DA911B8"/>
    <w:rsid w:val="7DF30332"/>
    <w:rsid w:val="7DFC793D"/>
    <w:rsid w:val="7E261E06"/>
    <w:rsid w:val="7F0439F3"/>
    <w:rsid w:val="7F0B7AFA"/>
    <w:rsid w:val="7F1C1099"/>
    <w:rsid w:val="7F78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6.xml"/><Relationship Id="rId16" Type="http://schemas.openxmlformats.org/officeDocument/2006/relationships/chart" Target="charts/chart5.xml"/><Relationship Id="rId15" Type="http://schemas.openxmlformats.org/officeDocument/2006/relationships/chart" Target="charts/chart4.xml"/><Relationship Id="rId14" Type="http://schemas.openxmlformats.org/officeDocument/2006/relationships/image" Target="media/image5.png"/><Relationship Id="rId13" Type="http://schemas.openxmlformats.org/officeDocument/2006/relationships/chart" Target="charts/chart3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5.xml"/><Relationship Id="rId3" Type="http://schemas.microsoft.com/office/2011/relationships/chartStyle" Target="style5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QYRea\Desktop\20231127%20&#30446;&#24405;\20231127%20Static%20Code%20Analysis%20Software%20%20&#38745;&#24577;&#20195;&#30721;&#20998;&#26512;&#36719;&#20214;\&#35266;&#28857;&#25968;&#25454;&#22270;&#34920;&#27169;&#26495;-&#20840;&#29699;20230927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QYRea\Desktop\20231127%20&#30446;&#24405;\20231127%20Static%20Code%20Analysis%20Software%20%20&#38745;&#24577;&#20195;&#30721;&#20998;&#26512;&#36719;&#20214;\&#35266;&#28857;&#25968;&#25454;&#22270;&#34920;&#27169;&#26495;-&#20840;&#29699;20230927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QYRea\Desktop\20231127%20&#30446;&#24405;\20231127%20Static%20Code%20Analysis%20Software%20%20&#38745;&#24577;&#20195;&#30721;&#20998;&#26512;&#36719;&#20214;\&#35266;&#28857;&#25968;&#25454;&#22270;&#34920;&#27169;&#26495;-&#20840;&#29699;20230927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QYRea\Desktop\20231127%20&#30446;&#24405;\20231127%20Static%20Code%20Analysis%20Software%20%20&#38745;&#24577;&#20195;&#30721;&#20998;&#26512;&#36719;&#20214;\&#35266;&#28857;&#25968;&#25454;&#22270;&#34920;&#27169;&#26495;-&#20840;&#29699;2023092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QYRea\Desktop\20231127%20&#30446;&#24405;\20231127%20Static%20Code%20Analysis%20Software%20%20&#38745;&#24577;&#20195;&#30721;&#20998;&#26512;&#36719;&#20214;\&#35266;&#28857;&#25968;&#25454;&#22270;&#34920;&#27169;&#26495;-&#20840;&#29699;202309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QYRea\Desktop\20231127%20&#30446;&#24405;\20231127%20Static%20Code%20Analysis%20Software%20%20&#38745;&#24577;&#20195;&#30721;&#20998;&#26512;&#36719;&#20214;\&#35266;&#28857;&#25968;&#25454;&#22270;&#34920;&#27169;&#26495;-&#20840;&#29699;202309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489.26</c:v>
                </c:pt>
                <c:pt idx="1">
                  <c:v>891.07</c:v>
                </c:pt>
                <c:pt idx="2">
                  <c:v>1547.93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0"/>
                <c:pt idx="0">
                  <c:v>Idera (Kiuwan)</c:v>
                </c:pt>
                <c:pt idx="1">
                  <c:v>Parasoft</c:v>
                </c:pt>
                <c:pt idx="2">
                  <c:v>HCL Technologies</c:v>
                </c:pt>
                <c:pt idx="3">
                  <c:v>Perforce (Klocwork)</c:v>
                </c:pt>
                <c:pt idx="4">
                  <c:v>Micro Focus</c:v>
                </c:pt>
                <c:pt idx="5">
                  <c:v>Veracode</c:v>
                </c:pt>
                <c:pt idx="6">
                  <c:v>JetBrains</c:v>
                </c:pt>
                <c:pt idx="7">
                  <c:v>Checkmarx</c:v>
                </c:pt>
                <c:pt idx="8">
                  <c:v>SonarSource</c:v>
                </c:pt>
                <c:pt idx="9">
                  <c:v>Synopsys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0"/>
                <c:pt idx="0">
                  <c:v>20.77</c:v>
                </c:pt>
                <c:pt idx="1">
                  <c:v>25.29</c:v>
                </c:pt>
                <c:pt idx="2">
                  <c:v>27.85</c:v>
                </c:pt>
                <c:pt idx="3">
                  <c:v>34.45</c:v>
                </c:pt>
                <c:pt idx="4">
                  <c:v>39.64</c:v>
                </c:pt>
                <c:pt idx="5">
                  <c:v>82.19</c:v>
                </c:pt>
                <c:pt idx="6">
                  <c:v>89.22</c:v>
                </c:pt>
                <c:pt idx="7">
                  <c:v>104.64</c:v>
                </c:pt>
                <c:pt idx="8">
                  <c:v>119.48</c:v>
                </c:pt>
                <c:pt idx="9">
                  <c:v>130.58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Cloud Based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268.26</c:v>
                </c:pt>
                <c:pt idx="1">
                  <c:v>332.4</c:v>
                </c:pt>
                <c:pt idx="2">
                  <c:v>397.64</c:v>
                </c:pt>
                <c:pt idx="3">
                  <c:v>441.9</c:v>
                </c:pt>
                <c:pt idx="4">
                  <c:v>518.3</c:v>
                </c:pt>
                <c:pt idx="5">
                  <c:v>592.08</c:v>
                </c:pt>
                <c:pt idx="6">
                  <c:v>662.56</c:v>
                </c:pt>
                <c:pt idx="7">
                  <c:v>736.63</c:v>
                </c:pt>
                <c:pt idx="8">
                  <c:v>806.31</c:v>
                </c:pt>
                <c:pt idx="9">
                  <c:v>878.99</c:v>
                </c:pt>
                <c:pt idx="10">
                  <c:v>954.49</c:v>
                </c:pt>
                <c:pt idx="11">
                  <c:v>1032.56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Web Based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221</c:v>
                </c:pt>
                <c:pt idx="1">
                  <c:v>265.34</c:v>
                </c:pt>
                <c:pt idx="2">
                  <c:v>307.82</c:v>
                </c:pt>
                <c:pt idx="3">
                  <c:v>332.4</c:v>
                </c:pt>
                <c:pt idx="4">
                  <c:v>372.77</c:v>
                </c:pt>
                <c:pt idx="5">
                  <c:v>402.5</c:v>
                </c:pt>
                <c:pt idx="6">
                  <c:v>426.43</c:v>
                </c:pt>
                <c:pt idx="7">
                  <c:v>449.57</c:v>
                </c:pt>
                <c:pt idx="8">
                  <c:v>467.12</c:v>
                </c:pt>
                <c:pt idx="9">
                  <c:v>484.02</c:v>
                </c:pt>
                <c:pt idx="10">
                  <c:v>500.13</c:v>
                </c:pt>
                <c:pt idx="11">
                  <c:v>515.37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分类!$B$4:$M$4</c:f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分类!$B$5:$M$5</c:f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分类!$B$6:$M$6</c:f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分类!$B$8:$M$8</c:f>
            </c:numRef>
          </c:val>
        </c:ser>
        <c:ser>
          <c:idx val="7"/>
          <c:order val="7"/>
          <c:tx>
            <c:strRef>
              <c:f>分类!$A$9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分类!$B$9:$M$9</c:f>
            </c:numRef>
          </c:val>
        </c:ser>
        <c:ser>
          <c:idx val="8"/>
          <c:order val="8"/>
          <c:tx>
            <c:strRef>
              <c:f>分类!$A$10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489.26</c:v>
                </c:pt>
                <c:pt idx="1">
                  <c:v>597.74</c:v>
                </c:pt>
                <c:pt idx="2">
                  <c:v>705.46</c:v>
                </c:pt>
                <c:pt idx="3">
                  <c:v>774.3</c:v>
                </c:pt>
                <c:pt idx="4">
                  <c:v>891.07</c:v>
                </c:pt>
                <c:pt idx="5">
                  <c:v>994.58</c:v>
                </c:pt>
                <c:pt idx="6">
                  <c:v>1088.99</c:v>
                </c:pt>
                <c:pt idx="7">
                  <c:v>1186.2</c:v>
                </c:pt>
                <c:pt idx="8">
                  <c:v>1273.43</c:v>
                </c:pt>
                <c:pt idx="9">
                  <c:v>1363.01</c:v>
                </c:pt>
                <c:pt idx="10">
                  <c:v>1454.62</c:v>
                </c:pt>
                <c:pt idx="11">
                  <c:v>1547.93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Large Enterprises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349.95</c:v>
                </c:pt>
                <c:pt idx="1">
                  <c:v>423.44</c:v>
                </c:pt>
                <c:pt idx="2">
                  <c:v>494.11</c:v>
                </c:pt>
                <c:pt idx="3">
                  <c:v>533</c:v>
                </c:pt>
                <c:pt idx="4">
                  <c:v>607.98</c:v>
                </c:pt>
                <c:pt idx="5">
                  <c:v>668.67</c:v>
                </c:pt>
                <c:pt idx="6">
                  <c:v>721</c:v>
                </c:pt>
                <c:pt idx="7">
                  <c:v>772.72</c:v>
                </c:pt>
                <c:pt idx="8">
                  <c:v>815.47</c:v>
                </c:pt>
                <c:pt idx="9">
                  <c:v>857.19</c:v>
                </c:pt>
                <c:pt idx="10">
                  <c:v>897.47</c:v>
                </c:pt>
                <c:pt idx="11">
                  <c:v>935.95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SMEs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139.31</c:v>
                </c:pt>
                <c:pt idx="1">
                  <c:v>174.3</c:v>
                </c:pt>
                <c:pt idx="2">
                  <c:v>211.35</c:v>
                </c:pt>
                <c:pt idx="3">
                  <c:v>241.3</c:v>
                </c:pt>
                <c:pt idx="4">
                  <c:v>283.09</c:v>
                </c:pt>
                <c:pt idx="5">
                  <c:v>325.91</c:v>
                </c:pt>
                <c:pt idx="6">
                  <c:v>367.99</c:v>
                </c:pt>
                <c:pt idx="7">
                  <c:v>413.48</c:v>
                </c:pt>
                <c:pt idx="8">
                  <c:v>457.96</c:v>
                </c:pt>
                <c:pt idx="9">
                  <c:v>505.82</c:v>
                </c:pt>
                <c:pt idx="10">
                  <c:v>557.15</c:v>
                </c:pt>
                <c:pt idx="11">
                  <c:v>611.98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489.26</c:v>
                </c:pt>
                <c:pt idx="1">
                  <c:v>597.74</c:v>
                </c:pt>
                <c:pt idx="2">
                  <c:v>705.46</c:v>
                </c:pt>
                <c:pt idx="3">
                  <c:v>774.3</c:v>
                </c:pt>
                <c:pt idx="4">
                  <c:v>891.07</c:v>
                </c:pt>
                <c:pt idx="5">
                  <c:v>994.58</c:v>
                </c:pt>
                <c:pt idx="6">
                  <c:v>1088.99</c:v>
                </c:pt>
                <c:pt idx="7">
                  <c:v>1186.2</c:v>
                </c:pt>
                <c:pt idx="8">
                  <c:v>1273.43</c:v>
                </c:pt>
                <c:pt idx="9">
                  <c:v>1363.01</c:v>
                </c:pt>
                <c:pt idx="10">
                  <c:v>1454.62</c:v>
                </c:pt>
                <c:pt idx="11">
                  <c:v>1547.93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179.35</c:v>
                </c:pt>
                <c:pt idx="1">
                  <c:v>218.59</c:v>
                </c:pt>
                <c:pt idx="2">
                  <c:v>256.04</c:v>
                </c:pt>
                <c:pt idx="3">
                  <c:v>288.94</c:v>
                </c:pt>
                <c:pt idx="4">
                  <c:v>337.71</c:v>
                </c:pt>
                <c:pt idx="5">
                  <c:v>380.4</c:v>
                </c:pt>
                <c:pt idx="6">
                  <c:v>415.4</c:v>
                </c:pt>
                <c:pt idx="7">
                  <c:v>451.31</c:v>
                </c:pt>
                <c:pt idx="8">
                  <c:v>483.44</c:v>
                </c:pt>
                <c:pt idx="9">
                  <c:v>516.36</c:v>
                </c:pt>
                <c:pt idx="10">
                  <c:v>549.94</c:v>
                </c:pt>
                <c:pt idx="11">
                  <c:v>584.06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159.69</c:v>
                </c:pt>
                <c:pt idx="1">
                  <c:v>189.01</c:v>
                </c:pt>
                <c:pt idx="2">
                  <c:v>219.04</c:v>
                </c:pt>
                <c:pt idx="3">
                  <c:v>239.58</c:v>
                </c:pt>
                <c:pt idx="4">
                  <c:v>276.69</c:v>
                </c:pt>
                <c:pt idx="5">
                  <c:v>306.48</c:v>
                </c:pt>
                <c:pt idx="6">
                  <c:v>335.99</c:v>
                </c:pt>
                <c:pt idx="7">
                  <c:v>366.39</c:v>
                </c:pt>
                <c:pt idx="8">
                  <c:v>393.69</c:v>
                </c:pt>
                <c:pt idx="9">
                  <c:v>421.75</c:v>
                </c:pt>
                <c:pt idx="10">
                  <c:v>450.46</c:v>
                </c:pt>
                <c:pt idx="11">
                  <c:v>479.72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China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43.68</c:v>
                </c:pt>
                <c:pt idx="1">
                  <c:v>54.73</c:v>
                </c:pt>
                <c:pt idx="2">
                  <c:v>69.34</c:v>
                </c:pt>
                <c:pt idx="3">
                  <c:v>80.66</c:v>
                </c:pt>
                <c:pt idx="4">
                  <c:v>92.81</c:v>
                </c:pt>
                <c:pt idx="5">
                  <c:v>103.98</c:v>
                </c:pt>
                <c:pt idx="6">
                  <c:v>114.48</c:v>
                </c:pt>
                <c:pt idx="7">
                  <c:v>125.34</c:v>
                </c:pt>
                <c:pt idx="8">
                  <c:v>135.14</c:v>
                </c:pt>
                <c:pt idx="9">
                  <c:v>145.24</c:v>
                </c:pt>
                <c:pt idx="10">
                  <c:v>155.61</c:v>
                </c:pt>
                <c:pt idx="11">
                  <c:v>166.21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Japan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21.18</c:v>
                </c:pt>
                <c:pt idx="1">
                  <c:v>26.4</c:v>
                </c:pt>
                <c:pt idx="2">
                  <c:v>28.74</c:v>
                </c:pt>
                <c:pt idx="3">
                  <c:v>27.93</c:v>
                </c:pt>
                <c:pt idx="4">
                  <c:v>27.78</c:v>
                </c:pt>
                <c:pt idx="5">
                  <c:v>28.33</c:v>
                </c:pt>
                <c:pt idx="6">
                  <c:v>29.94</c:v>
                </c:pt>
                <c:pt idx="7">
                  <c:v>32.17</c:v>
                </c:pt>
                <c:pt idx="8">
                  <c:v>34.14</c:v>
                </c:pt>
                <c:pt idx="9">
                  <c:v>36.14</c:v>
                </c:pt>
                <c:pt idx="10">
                  <c:v>38.16</c:v>
                </c:pt>
                <c:pt idx="11">
                  <c:v>40.2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Southeast Asia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  <c:numCache>
                <c:formatCode>#,##0_);[Red]\(#,##0\)</c:formatCode>
                <c:ptCount val="12"/>
                <c:pt idx="0">
                  <c:v>11.78</c:v>
                </c:pt>
                <c:pt idx="1">
                  <c:v>13.78</c:v>
                </c:pt>
                <c:pt idx="2">
                  <c:v>17.16</c:v>
                </c:pt>
                <c:pt idx="3">
                  <c:v>21.68</c:v>
                </c:pt>
                <c:pt idx="4">
                  <c:v>25.9</c:v>
                </c:pt>
                <c:pt idx="5">
                  <c:v>30.52</c:v>
                </c:pt>
                <c:pt idx="6">
                  <c:v>33.66</c:v>
                </c:pt>
                <c:pt idx="7">
                  <c:v>36.3</c:v>
                </c:pt>
                <c:pt idx="8">
                  <c:v>38.64</c:v>
                </c:pt>
                <c:pt idx="9">
                  <c:v>41.02</c:v>
                </c:pt>
                <c:pt idx="10">
                  <c:v>43.44</c:v>
                </c:pt>
                <c:pt idx="11">
                  <c:v>45.88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>India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  <c:numCache>
                <c:formatCode>#,##0_);[Red]\(#,##0\)</c:formatCode>
                <c:ptCount val="12"/>
                <c:pt idx="0">
                  <c:v>31.55</c:v>
                </c:pt>
                <c:pt idx="1">
                  <c:v>38.14</c:v>
                </c:pt>
                <c:pt idx="2">
                  <c:v>44.93</c:v>
                </c:pt>
                <c:pt idx="3">
                  <c:v>47.66</c:v>
                </c:pt>
                <c:pt idx="4">
                  <c:v>53.99</c:v>
                </c:pt>
                <c:pt idx="5">
                  <c:v>58.19</c:v>
                </c:pt>
                <c:pt idx="6">
                  <c:v>63.37</c:v>
                </c:pt>
                <c:pt idx="7">
                  <c:v>68.67</c:v>
                </c:pt>
                <c:pt idx="8">
                  <c:v>73.4</c:v>
                </c:pt>
                <c:pt idx="9">
                  <c:v>78.23</c:v>
                </c:pt>
                <c:pt idx="10">
                  <c:v>83.15</c:v>
                </c:pt>
                <c:pt idx="11">
                  <c:v>88.14</c:v>
                </c:pt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>Other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'地区-消费'!$B$10:$M$10</c:f>
              <c:numCache>
                <c:formatCode>#,##0_);[Red]\(#,##0\)</c:formatCode>
                <c:ptCount val="12"/>
                <c:pt idx="0">
                  <c:v>42.03</c:v>
                </c:pt>
                <c:pt idx="1">
                  <c:v>57.09</c:v>
                </c:pt>
                <c:pt idx="2">
                  <c:v>70.21</c:v>
                </c:pt>
                <c:pt idx="3">
                  <c:v>67.85</c:v>
                </c:pt>
                <c:pt idx="4">
                  <c:v>76.19</c:v>
                </c:pt>
                <c:pt idx="5">
                  <c:v>86.68</c:v>
                </c:pt>
                <c:pt idx="6">
                  <c:v>96.15</c:v>
                </c:pt>
                <c:pt idx="7">
                  <c:v>106.02</c:v>
                </c:pt>
                <c:pt idx="8">
                  <c:v>114.98</c:v>
                </c:pt>
                <c:pt idx="9">
                  <c:v>124.27</c:v>
                </c:pt>
                <c:pt idx="10">
                  <c:v>133.86</c:v>
                </c:pt>
                <c:pt idx="11">
                  <c:v>143.72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'地区-消费'!$A$11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'地区-消费'!$B$11:$M$11</c:f>
              <c:numCache>
                <c:formatCode>#,##0_);[Red]\(#,##0\)</c:formatCode>
                <c:ptCount val="12"/>
                <c:pt idx="0">
                  <c:v>489.26</c:v>
                </c:pt>
                <c:pt idx="1">
                  <c:v>597.74</c:v>
                </c:pt>
                <c:pt idx="2">
                  <c:v>705.46</c:v>
                </c:pt>
                <c:pt idx="3">
                  <c:v>774.3</c:v>
                </c:pt>
                <c:pt idx="4">
                  <c:v>891.07</c:v>
                </c:pt>
                <c:pt idx="5">
                  <c:v>994.58</c:v>
                </c:pt>
                <c:pt idx="6">
                  <c:v>1088.99</c:v>
                </c:pt>
                <c:pt idx="7">
                  <c:v>1186.2</c:v>
                </c:pt>
                <c:pt idx="8">
                  <c:v>1273.43</c:v>
                </c:pt>
                <c:pt idx="9">
                  <c:v>1363.01</c:v>
                </c:pt>
                <c:pt idx="10">
                  <c:v>1454.62</c:v>
                </c:pt>
                <c:pt idx="11">
                  <c:v>1547.93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7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Southeast Asia</c:v>
                </c:pt>
                <c:pt idx="5">
                  <c:v>India</c:v>
                </c:pt>
                <c:pt idx="6">
                  <c:v>Other</c:v>
                </c:pt>
              </c:strCache>
            </c:strRef>
          </c:cat>
          <c:val>
            <c:numRef>
              <c:f>'地区-消费'!$AE$2:$AE$10</c:f>
              <c:numCache>
                <c:formatCode>#,##0_);[Red]\(#,##0\)</c:formatCode>
                <c:ptCount val="7"/>
                <c:pt idx="0">
                  <c:v>179.35</c:v>
                </c:pt>
                <c:pt idx="1">
                  <c:v>159.69</c:v>
                </c:pt>
                <c:pt idx="2">
                  <c:v>43.68</c:v>
                </c:pt>
                <c:pt idx="3">
                  <c:v>21.18</c:v>
                </c:pt>
                <c:pt idx="4">
                  <c:v>11.78</c:v>
                </c:pt>
                <c:pt idx="5">
                  <c:v>31.55</c:v>
                </c:pt>
                <c:pt idx="6">
                  <c:v>42.03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7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Southeast Asia</c:v>
                </c:pt>
                <c:pt idx="5">
                  <c:v>India</c:v>
                </c:pt>
                <c:pt idx="6">
                  <c:v>Other</c:v>
                </c:pt>
              </c:strCache>
            </c:strRef>
          </c:cat>
          <c:val>
            <c:numRef>
              <c:f>'地区-消费'!$AF$2:$AF$10</c:f>
              <c:numCache>
                <c:formatCode>#,##0_);[Red]\(#,##0\)</c:formatCode>
                <c:ptCount val="7"/>
                <c:pt idx="0">
                  <c:v>337.71</c:v>
                </c:pt>
                <c:pt idx="1">
                  <c:v>276.69</c:v>
                </c:pt>
                <c:pt idx="2">
                  <c:v>92.81</c:v>
                </c:pt>
                <c:pt idx="3">
                  <c:v>27.78</c:v>
                </c:pt>
                <c:pt idx="4">
                  <c:v>25.9</c:v>
                </c:pt>
                <c:pt idx="5">
                  <c:v>53.99</c:v>
                </c:pt>
                <c:pt idx="6">
                  <c:v>76.19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7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Southeast Asia</c:v>
                </c:pt>
                <c:pt idx="5">
                  <c:v>India</c:v>
                </c:pt>
                <c:pt idx="6">
                  <c:v>Other</c:v>
                </c:pt>
              </c:strCache>
            </c:strRef>
          </c:cat>
          <c:val>
            <c:numRef>
              <c:f>'地区-消费'!$AG$2:$AG$10</c:f>
              <c:numCache>
                <c:formatCode>#,##0_);[Red]\(#,##0\)</c:formatCode>
                <c:ptCount val="7"/>
                <c:pt idx="0">
                  <c:v>584.06</c:v>
                </c:pt>
                <c:pt idx="1">
                  <c:v>479.72</c:v>
                </c:pt>
                <c:pt idx="2">
                  <c:v>166.21</c:v>
                </c:pt>
                <c:pt idx="3">
                  <c:v>40.2</c:v>
                </c:pt>
                <c:pt idx="4">
                  <c:v>45.88</c:v>
                </c:pt>
                <c:pt idx="5">
                  <c:v>88.14</c:v>
                </c:pt>
                <c:pt idx="6">
                  <c:v>143.72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0.17175</cdr:y>
    </cdr:from>
    <cdr:to>
      <cdr:x>0.73063</cdr:x>
      <cdr:y>0.51232</cdr:y>
    </cdr:to>
    <cdr:grpSp>
      <cdr:nvGrpSpPr>
        <cdr:cNvPr id="2" name="组合 1"/>
        <cdr:cNvGrpSpPr/>
      </cdr:nvGrpSpPr>
      <cdr:grpSpPr xmlns:a="http://schemas.openxmlformats.org/drawingml/2006/main">
        <a:xfrm rot="1756801">
          <a:off x="3408618" y="501900"/>
          <a:ext cx="1113039" cy="995237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85602" y="1427757"/>
            <a:ext cx="619687" cy="18580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7.7%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0.23328</cdr:x>
      <cdr:y>0.47975</cdr:y>
    </cdr:from>
    <cdr:to>
      <cdr:x>0.43042</cdr:x>
      <cdr:y>0.743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43702" y="1401959"/>
          <a:ext cx="1220042" cy="769288"/>
          <a:chOff x="3065378" y="1615187"/>
          <a:chExt cx="1010935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35135" y="1935053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16.2%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2023-12-12T06:39:38Z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6BCA2D2FD6094C8298887A01D9335EF1_13</vt:lpwstr>
  </property>
</Properties>
</file>