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3.8.0 -->
  <w:body>
    <w:p w:rsidR="00347A61" w:rsidRPr="001763C6" w:rsidP="00347A61" w14:paraId="525D5715" w14:textId="4F188332">
      <w:pPr>
        <w:pStyle w:val="a15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氮磷钾肥</w:t>
      </w:r>
      <w:r w:rsidR="00CA0DA4">
        <w:rPr>
          <w:rFonts w:hint="eastAsia"/>
          <w:lang w:eastAsia="zh-CN"/>
        </w:rPr>
        <w:t>全球市场总体规模</w:t>
      </w:r>
    </w:p>
    <w:p w:rsidR="00961627" w:rsidP="00DF134C" w14:paraId="068AF304" w14:textId="4A9B5033">
      <w:pPr>
        <w:pStyle w:val="-0"/>
        <w:rPr>
          <w:lang w:eastAsia="zh-CN"/>
        </w:rPr>
      </w:pPr>
      <w:r>
        <w:rPr>
          <w:noProof/>
        </w:rPr>
        <w:drawing>
          <wp:inline distT="0" distB="0" distL="0" distR="0">
            <wp:extent cx="2124075" cy="1590675"/>
            <wp:effectExtent l="0" t="0" r="9525" b="9525"/>
            <wp:docPr id="11" name="图片 11" descr="说明: http://www.fertilizertech.com/photo/pl1473405-plant_growth_npk_compound_fertilizer_10_10_0_20_20_0_16_20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说明: http://www.fertilizertech.com/photo/pl1473405-plant_growth_npk_compound_fertilizer_10_10_0_20_20_0_16_20_0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C7B" w:rsidP="00DF134C" w14:paraId="4D38E3C6" w14:textId="38DAEB38">
      <w:pPr>
        <w:pStyle w:val="-0"/>
        <w:rPr>
          <w:lang w:eastAsia="zh-CN"/>
        </w:rPr>
      </w:pPr>
      <w:r w:rsidRPr="00863182">
        <w:rPr>
          <w:rFonts w:hint="eastAsia"/>
          <w:lang w:eastAsia="zh-CN"/>
        </w:rPr>
        <w:t>据</w:t>
      </w:r>
      <w:r w:rsidRPr="00863182">
        <w:rPr>
          <w:rFonts w:hint="eastAsia"/>
          <w:lang w:eastAsia="zh-CN"/>
        </w:rPr>
        <w:t>QYResearch</w:t>
      </w:r>
      <w:r w:rsidRPr="00863182">
        <w:rPr>
          <w:rFonts w:hint="eastAsia"/>
          <w:lang w:eastAsia="zh-CN"/>
        </w:rPr>
        <w:t>调研团队最新报告“全球氮磷钾肥市场报告</w:t>
      </w:r>
      <w:r w:rsidRPr="00863182">
        <w:rPr>
          <w:rFonts w:hint="eastAsia"/>
          <w:lang w:eastAsia="zh-CN"/>
        </w:rPr>
        <w:t>2023-2029</w:t>
      </w:r>
      <w:r w:rsidRPr="00863182">
        <w:rPr>
          <w:rFonts w:hint="eastAsia"/>
          <w:lang w:eastAsia="zh-CN"/>
        </w:rPr>
        <w:t>”显示，预计</w:t>
      </w:r>
      <w:r w:rsidRPr="00863182">
        <w:rPr>
          <w:rFonts w:hint="eastAsia"/>
          <w:lang w:eastAsia="zh-CN"/>
        </w:rPr>
        <w:t>2029</w:t>
      </w:r>
      <w:r w:rsidRPr="00863182">
        <w:rPr>
          <w:rFonts w:hint="eastAsia"/>
          <w:lang w:eastAsia="zh-CN"/>
        </w:rPr>
        <w:t>年全球氮磷钾肥市场规模将达到</w:t>
      </w:r>
      <w:r w:rsidRPr="00863182">
        <w:rPr>
          <w:rFonts w:hint="eastAsia"/>
          <w:lang w:eastAsia="zh-CN"/>
        </w:rPr>
        <w:t>11.9</w:t>
      </w:r>
      <w:r w:rsidRPr="00863182">
        <w:rPr>
          <w:rFonts w:hint="eastAsia"/>
          <w:lang w:eastAsia="zh-CN"/>
        </w:rPr>
        <w:t>亿美元，未来几年年复合增长率</w:t>
      </w:r>
      <w:r w:rsidRPr="00863182">
        <w:rPr>
          <w:rFonts w:hint="eastAsia"/>
          <w:lang w:eastAsia="zh-CN"/>
        </w:rPr>
        <w:t>CAGR</w:t>
      </w:r>
      <w:r w:rsidRPr="00863182">
        <w:rPr>
          <w:rFonts w:hint="eastAsia"/>
          <w:lang w:eastAsia="zh-CN"/>
        </w:rPr>
        <w:t>为</w:t>
      </w:r>
      <w:r w:rsidRPr="00863182">
        <w:rPr>
          <w:rFonts w:hint="eastAsia"/>
          <w:lang w:eastAsia="zh-CN"/>
        </w:rPr>
        <w:t>-43.4%</w:t>
      </w:r>
      <w:r w:rsidRPr="00863182">
        <w:rPr>
          <w:rFonts w:hint="eastAsia"/>
          <w:lang w:eastAsia="zh-CN"/>
        </w:rPr>
        <w:t>。</w:t>
      </w:r>
    </w:p>
    <w:p w:rsidR="00347A61" w:rsidP="000A1AB9" w14:paraId="3F6C2722" w14:textId="68AD118E">
      <w:pPr>
        <w:pStyle w:val="FigureStyle"/>
        <w:rPr>
          <w:lang w:eastAsia="zh-CN"/>
        </w:rPr>
      </w:pPr>
      <w:r>
        <w:rPr>
          <w:lang w:eastAsia="zh-CN"/>
        </w:rPr>
        <w:t>氮磷钾肥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  <w:r w:rsidR="00C51A9D">
        <w:rPr>
          <w:rFonts w:hint="eastAsia"/>
          <w:lang w:eastAsia="zh-CN"/>
        </w:rPr>
        <w:t>，预计</w:t>
      </w:r>
      <w:r w:rsidR="00C51A9D">
        <w:rPr>
          <w:rFonts w:hint="eastAsia"/>
          <w:lang w:eastAsia="zh-CN"/>
        </w:rPr>
        <w:t>2</w:t>
      </w:r>
      <w:r w:rsidR="00C51A9D">
        <w:rPr>
          <w:lang w:eastAsia="zh-CN"/>
        </w:rPr>
        <w:t>029</w:t>
      </w:r>
      <w:r w:rsidR="00C51A9D">
        <w:rPr>
          <w:rFonts w:hint="eastAsia"/>
          <w:lang w:eastAsia="zh-CN"/>
        </w:rPr>
        <w:t>年达到</w:t>
      </w:r>
      <w:r w:rsidRPr="00863182">
        <w:rPr>
          <w:rFonts w:hint="eastAsia"/>
          <w:lang w:eastAsia="zh-CN"/>
        </w:rPr>
        <w:t>11.9</w:t>
      </w:r>
      <w:r w:rsidR="008B0301">
        <w:rPr>
          <w:rFonts w:hint="eastAsia"/>
          <w:lang w:eastAsia="zh-CN"/>
        </w:rPr>
        <w:t>亿美元</w:t>
      </w:r>
    </w:p>
    <w:p w:rsidR="00347A61" w:rsidP="00347A61" w14:paraId="33261207" w14:textId="07D9F1E9">
      <w:pPr>
        <w:pStyle w:val="-0"/>
      </w:pPr>
      <w:r>
        <w:rPr>
          <w:noProof/>
        </w:rPr>
        <w:drawing>
          <wp:inline distT="0" distB="0" distL="0" distR="0">
            <wp:extent cx="6559550" cy="3060700"/>
            <wp:effectExtent l="0" t="0" r="0" b="6350"/>
            <wp:docPr id="14013757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375796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C3115" w:rsidP="00FC3115" w14:paraId="548964BA" w14:textId="309B4670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 w:rsidR="00775B01">
        <w:rPr>
          <w:rFonts w:hint="eastAsia"/>
          <w:lang w:eastAsia="zh-CN"/>
        </w:rPr>
        <w:t>全球</w:t>
      </w:r>
      <w:r w:rsidR="00863182">
        <w:rPr>
          <w:lang w:eastAsia="zh-CN"/>
        </w:rPr>
        <w:t>氮磷钾肥</w:t>
      </w:r>
      <w:r w:rsidRPr="00775B01" w:rsidR="00775B01">
        <w:rPr>
          <w:rFonts w:hint="eastAsia"/>
          <w:lang w:eastAsia="zh-CN"/>
        </w:rPr>
        <w:t>市场研究报告</w:t>
      </w:r>
      <w:r w:rsidRPr="00775B01" w:rsidR="00775B01">
        <w:rPr>
          <w:rFonts w:hint="eastAsia"/>
          <w:lang w:eastAsia="zh-CN"/>
        </w:rPr>
        <w:t>2023-2029</w:t>
      </w:r>
      <w:r>
        <w:rPr>
          <w:lang w:eastAsia="zh-CN"/>
        </w:rPr>
        <w:t>.</w:t>
      </w:r>
    </w:p>
    <w:p w:rsidR="00527DEE" w:rsidRPr="00BF5880" w:rsidP="00BF5880" w14:paraId="12FD9BEF" w14:textId="77777777">
      <w:pPr>
        <w:pStyle w:val="-0"/>
        <w:rPr>
          <w:lang w:eastAsia="zh-CN"/>
        </w:rPr>
      </w:pPr>
    </w:p>
    <w:p w:rsidR="004721C4" w:rsidRPr="001763C6" w:rsidP="00B44D1E" w14:paraId="720E31E2" w14:textId="5E52C1B3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r w:rsidR="00863182">
        <w:rPr>
          <w:lang w:eastAsia="zh-CN"/>
        </w:rPr>
        <w:t>氮磷钾肥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863182">
        <w:rPr>
          <w:lang w:eastAsia="zh-CN"/>
        </w:rPr>
        <w:t>30</w:t>
      </w:r>
      <w:r w:rsidR="001052F0">
        <w:rPr>
          <w:rFonts w:hint="eastAsia"/>
          <w:lang w:eastAsia="zh-CN"/>
        </w:rPr>
        <w:t>强生产商排名及市场占有率</w:t>
      </w:r>
      <w:r w:rsidRPr="00FA2DF1" w:rsid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Pr="00FA2DF1" w:rsidR="00FA2DF1">
        <w:rPr>
          <w:rFonts w:hint="eastAsia"/>
          <w:lang w:eastAsia="zh-CN"/>
        </w:rPr>
        <w:t>持续更新）</w:t>
      </w:r>
    </w:p>
    <w:p w:rsidR="004721C4" w:rsidP="004721C4" w14:paraId="259C9F9E" w14:textId="27F02934">
      <w:pPr>
        <w:pStyle w:val="-0"/>
        <w:jc w:val="center"/>
      </w:pPr>
      <w:r>
        <w:rPr>
          <w:noProof/>
        </w:rPr>
        <w:drawing>
          <wp:inline distT="0" distB="0" distL="0" distR="0">
            <wp:extent cx="4572635" cy="4401820"/>
            <wp:effectExtent l="0" t="0" r="0" b="0"/>
            <wp:docPr id="7273303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330341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721C4" w:rsidP="004721C4" w14:paraId="04A43543" w14:textId="06AC6C40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863182">
        <w:rPr>
          <w:lang w:eastAsia="zh-CN"/>
        </w:rPr>
        <w:t>氮磷钾肥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:rsidR="007F61D5" w:rsidP="00BF5880" w14:paraId="732DEE17" w14:textId="690EFBEA">
      <w:pPr>
        <w:pStyle w:val="-0"/>
      </w:pPr>
      <w:r w:rsidRPr="00863182">
        <w:rPr>
          <w:rFonts w:hint="eastAsia"/>
          <w:lang w:eastAsia="zh-CN"/>
        </w:rPr>
        <w:t>全球</w:t>
      </w:r>
      <w:r w:rsidRPr="00863182">
        <w:rPr>
          <w:rFonts w:hint="eastAsia"/>
          <w:lang w:eastAsia="zh-CN"/>
        </w:rPr>
        <w:t>范围内氮磷</w:t>
      </w:r>
      <w:r w:rsidRPr="00863182">
        <w:rPr>
          <w:rFonts w:hint="eastAsia"/>
          <w:lang w:eastAsia="zh-CN"/>
        </w:rPr>
        <w:t>钾肥生产商主要包括</w:t>
      </w:r>
      <w:r w:rsidRPr="00863182">
        <w:rPr>
          <w:rFonts w:hint="eastAsia"/>
          <w:lang w:eastAsia="zh-CN"/>
        </w:rPr>
        <w:t>Yara (NO)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>Xinyangfeng</w:t>
      </w:r>
      <w:r w:rsidRPr="00863182">
        <w:rPr>
          <w:rFonts w:hint="eastAsia"/>
          <w:lang w:eastAsia="zh-CN"/>
        </w:rPr>
        <w:t xml:space="preserve"> (CN)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>EuroChem</w:t>
      </w:r>
      <w:r w:rsidRPr="00863182">
        <w:rPr>
          <w:rFonts w:hint="eastAsia"/>
          <w:lang w:eastAsia="zh-CN"/>
        </w:rPr>
        <w:t xml:space="preserve"> (CH)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>ICL (IL)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>Acron</w:t>
      </w:r>
      <w:r w:rsidRPr="00863182">
        <w:rPr>
          <w:rFonts w:hint="eastAsia"/>
          <w:lang w:eastAsia="zh-CN"/>
        </w:rPr>
        <w:t xml:space="preserve"> (RU)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>Stanley (CN)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>Yihua (CN)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>Kingenta</w:t>
      </w:r>
      <w:r w:rsidRPr="00863182">
        <w:rPr>
          <w:rFonts w:hint="eastAsia"/>
          <w:lang w:eastAsia="zh-CN"/>
        </w:rPr>
        <w:t xml:space="preserve"> (CN)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 xml:space="preserve">Grupa </w:t>
      </w:r>
      <w:r w:rsidRPr="00863182">
        <w:rPr>
          <w:rFonts w:hint="eastAsia"/>
          <w:lang w:eastAsia="zh-CN"/>
        </w:rPr>
        <w:t>Azoty</w:t>
      </w:r>
      <w:r w:rsidRPr="00863182">
        <w:rPr>
          <w:rFonts w:hint="eastAsia"/>
          <w:lang w:eastAsia="zh-CN"/>
        </w:rPr>
        <w:t xml:space="preserve"> (PL)</w:t>
      </w:r>
      <w:r w:rsidRPr="00863182">
        <w:rPr>
          <w:rFonts w:hint="eastAsia"/>
          <w:lang w:eastAsia="zh-CN"/>
        </w:rPr>
        <w:t>、</w:t>
      </w:r>
      <w:r w:rsidRPr="00863182">
        <w:rPr>
          <w:rFonts w:hint="eastAsia"/>
          <w:lang w:eastAsia="zh-CN"/>
        </w:rPr>
        <w:t>SACF (CN)</w:t>
      </w:r>
      <w:r w:rsidRPr="00863182">
        <w:rPr>
          <w:rFonts w:hint="eastAsia"/>
          <w:lang w:eastAsia="zh-CN"/>
        </w:rPr>
        <w:t>等。</w:t>
      </w:r>
      <w:r w:rsidRPr="00863182">
        <w:rPr>
          <w:rFonts w:hint="eastAsia"/>
          <w:lang w:eastAsia="zh-CN"/>
        </w:rPr>
        <w:t>2021</w:t>
      </w:r>
      <w:r w:rsidRPr="00863182">
        <w:rPr>
          <w:rFonts w:hint="eastAsia"/>
          <w:lang w:eastAsia="zh-CN"/>
        </w:rPr>
        <w:t>年，全球前十强厂商占有大约</w:t>
      </w:r>
      <w:r w:rsidRPr="00863182">
        <w:rPr>
          <w:rFonts w:hint="eastAsia"/>
          <w:lang w:eastAsia="zh-CN"/>
        </w:rPr>
        <w:t>28.0%</w:t>
      </w:r>
      <w:r w:rsidRPr="00863182">
        <w:rPr>
          <w:rFonts w:hint="eastAsia"/>
          <w:lang w:eastAsia="zh-CN"/>
        </w:rPr>
        <w:t>的市场份额。</w:t>
      </w:r>
    </w:p>
    <w:p w:rsidR="00BF3B71" w:rsidRPr="00BF5880" w:rsidP="00BF5880" w14:paraId="391CF8D5" w14:textId="77777777">
      <w:pPr>
        <w:pStyle w:val="-0"/>
      </w:pPr>
    </w:p>
    <w:p w:rsidR="003C2BEE" w:rsidP="00423201" w14:paraId="551722F8" w14:textId="4A6C8F57">
      <w:pPr>
        <w:pStyle w:val="-0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:rsidR="00282954" w:rsidRPr="00DD38BB" w:rsidP="00282954" w14:paraId="7559775F" w14:textId="77777777">
      <w:pPr>
        <w:pStyle w:val="a15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 w:rsidR="00282954" w:rsidP="00282954" w14:paraId="044563DD" w14:textId="77777777">
      <w:pPr>
        <w:pStyle w:val="-0"/>
        <w:rPr>
          <w:lang w:eastAsia="zh-CN"/>
        </w:rPr>
      </w:pP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:rsidR="00282954" w:rsidRPr="008D2D65" w:rsidP="00282954" w14:paraId="7514D280" w14:textId="77777777">
      <w:pPr>
        <w:pStyle w:val="-0"/>
        <w:rPr>
          <w:lang w:eastAsia="zh-CN"/>
        </w:rPr>
      </w:pPr>
      <w:r w:rsidRPr="000464F9">
        <w:rPr>
          <w:rFonts w:hint="eastAsia"/>
          <w:lang w:eastAsia="zh-CN"/>
        </w:rPr>
        <w:t>QYResearch</w:t>
      </w:r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r w:rsidRPr="000464F9">
        <w:rPr>
          <w:rFonts w:hint="eastAsia"/>
          <w:lang w:eastAsia="zh-CN"/>
        </w:rPr>
        <w:t>伏产业</w:t>
      </w:r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:rsidR="00441158" w:rsidRPr="00282954" w:rsidP="00423201" w14:paraId="74641357" w14:textId="77777777">
      <w:pPr>
        <w:pStyle w:val="-0"/>
        <w:rPr>
          <w:lang w:eastAsia="zh-CN"/>
        </w:rPr>
      </w:pPr>
    </w:p>
    <w:sectPr w:rsidSect="004E579C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080" w:bottom="1440" w:left="1080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jc w:val="left"/>
      <w:rPr>
        <w:sz w:val="20"/>
      </w:rPr>
    </w:pPr>
    <w:r>
      <w:rPr>
        <w:sz w:val="20"/>
      </w:rPr>
      <w:t>Copyright © QYResearch | market@qyresearch.com | www.qyresearch.com.cn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90492" w14:paraId="46839A2F" w14:textId="77777777"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49" type="#_x0000_t75" style="width:481.85pt;height:238.85pt;margin-top:0;margin-left:0;mso-position-horizontal:center;mso-position-horizontal-relative:margin;mso-position-vertical:center;mso-position-vertical-relative:margin;position:absolute;z-index:-251657216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61627" w:rsidP="00961627" w14:paraId="034DFDC0" w14:textId="77777777">
    <w:pPr>
      <w:pStyle w:val="Header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Banner-01.jp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961627" w:rsidRPr="00A53AE9" w:rsidP="00961627" w14:textId="08E050D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0" type="#_x0000_t202" style="width:409.6pt;height:61.7pt;margin-top:-26.1pt;margin-left:-18.4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62336" filled="f" stroked="f">
              <v:textbox>
                <w:txbxContent>
                  <w:p w:rsidR="00961627" w:rsidRPr="00A53AE9" w:rsidP="00961627" w14:paraId="5499D8DF" w14:textId="08E050D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961627" w:rsidP="00961627" w14:paraId="620C58A2" w14:textId="77777777">
    <w:pPr>
      <w:pStyle w:val="Header"/>
      <w:pBdr>
        <w:bottom w:val="none" w:sz="0" w:space="0" w:color="auto"/>
      </w:pBdr>
      <w:jc w:val="both"/>
    </w:pPr>
  </w:p>
  <w:p w:rsidR="00961627" w:rsidP="00961627" w14:paraId="0EB12D4D" w14:textId="77777777">
    <w:pPr>
      <w:pStyle w:val="Header"/>
      <w:pBdr>
        <w:bottom w:val="none" w:sz="0" w:space="0" w:color="auto"/>
      </w:pBdr>
      <w:jc w:val="both"/>
    </w:pPr>
  </w:p>
  <w:p w:rsidR="00961627" w:rsidP="00961627" w14:paraId="3E23A369" w14:textId="77777777">
    <w:pPr>
      <w:pStyle w:val="Header"/>
      <w:pBdr>
        <w:bottom w:val="none" w:sz="0" w:space="0" w:color="auto"/>
      </w:pBdr>
      <w:jc w:val="both"/>
    </w:pPr>
  </w:p>
  <w:p w:rsidR="00961627" w:rsidP="00961627" w14:paraId="206F3E9B" w14:textId="77777777">
    <w:pPr>
      <w:pStyle w:val="Header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90492" w14:paraId="5186DDD5" w14:textId="77777777"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1" type="#_x0000_t75" style="width:481.85pt;height:238.85pt;margin-top:0;margin-left:0;mso-position-horizontal:center;mso-position-horizontal-relative:margin;mso-position-vertical:center;mso-position-vertical-relative:margin;position:absolute;z-index:-251658240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99F4BFB"/>
    <w:multiLevelType w:val="hybridMultilevel"/>
    <w:tmpl w:val="7DA6D21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173455BF"/>
    <w:multiLevelType w:val="hybridMultilevel"/>
    <w:tmpl w:val="B2BEBCE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F8F71FF"/>
    <w:multiLevelType w:val="hybridMultilevel"/>
    <w:tmpl w:val="20244F18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69778D2"/>
    <w:multiLevelType w:val="hybridMultilevel"/>
    <w:tmpl w:val="A6C2142E"/>
    <w:lvl w:ilvl="0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>
    <w:nsid w:val="3D6F0DE2"/>
    <w:multiLevelType w:val="hybridMultilevel"/>
    <w:tmpl w:val="A09C101E"/>
    <w:lvl w:ilvl="0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>
    <w:nsid w:val="50AF0EBA"/>
    <w:multiLevelType w:val="hybridMultilevel"/>
    <w:tmpl w:val="2FBA462A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3D73376"/>
    <w:multiLevelType w:val="multilevel"/>
    <w:tmpl w:val="55786760"/>
    <w:lvl w:ilvl="0">
      <w:start w:val="1"/>
      <w:numFmt w:val="decimal"/>
      <w:pStyle w:val="Heading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>
    <w:nsid w:val="599F66E8"/>
    <w:multiLevelType w:val="hybridMultilevel"/>
    <w:tmpl w:val="1A14C63A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622915CF"/>
    <w:multiLevelType w:val="hybridMultilevel"/>
    <w:tmpl w:val="B4A0D5F8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63C709F8"/>
    <w:multiLevelType w:val="hybridMultilevel"/>
    <w:tmpl w:val="04800124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4A0201D"/>
    <w:multiLevelType w:val="hybridMultilevel"/>
    <w:tmpl w:val="F15291D8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72D76D87"/>
    <w:multiLevelType w:val="hybridMultilevel"/>
    <w:tmpl w:val="468E09A8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A014EAF"/>
    <w:multiLevelType w:val="hybridMultilevel"/>
    <w:tmpl w:val="7D9A2032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43939000">
    <w:abstractNumId w:val="2"/>
  </w:num>
  <w:num w:numId="2" w16cid:durableId="653026750">
    <w:abstractNumId w:val="4"/>
  </w:num>
  <w:num w:numId="3" w16cid:durableId="2093812329">
    <w:abstractNumId w:val="10"/>
  </w:num>
  <w:num w:numId="4" w16cid:durableId="1393652170">
    <w:abstractNumId w:val="8"/>
  </w:num>
  <w:num w:numId="5" w16cid:durableId="862937884">
    <w:abstractNumId w:val="17"/>
  </w:num>
  <w:num w:numId="6" w16cid:durableId="127865359">
    <w:abstractNumId w:val="12"/>
  </w:num>
  <w:num w:numId="7" w16cid:durableId="1277055577">
    <w:abstractNumId w:val="5"/>
  </w:num>
  <w:num w:numId="8" w16cid:durableId="613907010">
    <w:abstractNumId w:val="3"/>
  </w:num>
  <w:num w:numId="9" w16cid:durableId="457988488">
    <w:abstractNumId w:val="16"/>
  </w:num>
  <w:num w:numId="10" w16cid:durableId="746001525">
    <w:abstractNumId w:val="6"/>
  </w:num>
  <w:num w:numId="11" w16cid:durableId="509175287">
    <w:abstractNumId w:val="1"/>
  </w:num>
  <w:num w:numId="12" w16cid:durableId="1411924375">
    <w:abstractNumId w:val="13"/>
  </w:num>
  <w:num w:numId="13" w16cid:durableId="1610163607">
    <w:abstractNumId w:val="18"/>
  </w:num>
  <w:num w:numId="14" w16cid:durableId="691421201">
    <w:abstractNumId w:val="14"/>
  </w:num>
  <w:num w:numId="15" w16cid:durableId="687294188">
    <w:abstractNumId w:val="11"/>
  </w:num>
  <w:num w:numId="16" w16cid:durableId="719325328">
    <w:abstractNumId w:val="0"/>
  </w:num>
  <w:num w:numId="17" w16cid:durableId="1844659022">
    <w:abstractNumId w:val="7"/>
  </w:num>
  <w:num w:numId="18" w16cid:durableId="2113668191">
    <w:abstractNumId w:val="9"/>
  </w:num>
  <w:num w:numId="19" w16cid:durableId="110966136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728" w:allStyles="0" w:alternateStyleNames="0" w:clearFormatting="1" w:customStyles="0" w:directFormattingOnNumbering="1" w:directFormattingOnParagraphs="1" w:directFormattingOnRuns="1" w:directFormattingOnTables="0" w:headingStyles="1" w:latentStyles="0" w:numberingStyles="0" w:stylesInUse="1" w:tableStyles="0" w:top3HeadingStyles="0" w:visibleStyl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4F9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AF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1F9B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70B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182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2D65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AE9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8BB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Heading1">
    <w:name w:val="heading 1"/>
    <w:basedOn w:val="Normal"/>
    <w:next w:val="Normal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Heading3">
    <w:name w:val="heading 3"/>
    <w:basedOn w:val="Normal"/>
    <w:next w:val="Normal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4">
    <w:name w:val="heading 4"/>
    <w:basedOn w:val="Normal"/>
    <w:next w:val="Normal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Heading7">
    <w:name w:val="heading 7"/>
    <w:basedOn w:val="Normal"/>
    <w:next w:val="Normal"/>
    <w:link w:val="7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">
    <w:name w:val="标题 4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Heading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Heading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Heading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Heading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605406"/>
    <w:rPr>
      <w:rFonts w:ascii="Calibri" w:hAnsi="Calibri" w:eastAsiaTheme="majorEastAsia"/>
      <w:b/>
      <w:bCs/>
      <w:color w:val="44546A" w:themeColor="text2"/>
      <w:sz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Normal"/>
    <w:next w:val="PlainText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Normal"/>
    <w:next w:val="Normal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PlainText">
    <w:name w:val="Plain Text"/>
    <w:basedOn w:val="Normal"/>
    <w:link w:val="16"/>
    <w:rsid w:val="00AD7B8C"/>
    <w:rPr>
      <w:rFonts w:ascii="宋体" w:hAnsi="Courier New" w:cs="Courier New"/>
    </w:rPr>
  </w:style>
  <w:style w:type="character" w:customStyle="1" w:styleId="a2">
    <w:name w:val="纯文本 字符"/>
    <w:basedOn w:val="DefaultParagraphFont"/>
    <w:uiPriority w:val="99"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name w:val="ad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TableClassic1">
    <w:name w:val="Table Classic 1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Heading1"/>
    <w:next w:val="Heading1"/>
    <w:rsid w:val="00AD7B8C"/>
    <w:rPr>
      <w:rFonts w:cs="宋体"/>
      <w:szCs w:val="20"/>
    </w:rPr>
  </w:style>
  <w:style w:type="paragraph" w:customStyle="1" w:styleId="50">
    <w:name w:val="样式 标题 5 + (中文) 宋体"/>
    <w:basedOn w:val="Heading5"/>
    <w:rsid w:val="00AD7B8C"/>
  </w:style>
  <w:style w:type="character" w:customStyle="1" w:styleId="16">
    <w:name w:val="纯文本 字符1"/>
    <w:link w:val="PlainText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Normal"/>
    <w:next w:val="Normal"/>
    <w:autoRedefine/>
    <w:uiPriority w:val="39"/>
    <w:rsid w:val="00266DD7"/>
    <w:pPr>
      <w:ind w:left="867" w:hanging="567" w:leftChars="300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7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7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ListParagraph">
    <w:name w:val="List Paragraph"/>
    <w:basedOn w:val="Normal"/>
    <w:link w:val="a14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Strong">
    <w:name w:val="Strong"/>
    <w:uiPriority w:val="22"/>
    <w:qFormat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8"/>
    <w:unhideWhenUsed/>
    <w:rsid w:val="00AD7B8C"/>
    <w:pPr>
      <w:jc w:val="left"/>
    </w:pPr>
  </w:style>
  <w:style w:type="character" w:customStyle="1" w:styleId="a7">
    <w:name w:val="批注文字 字符"/>
    <w:basedOn w:val="DefaultParagraphFont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8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9"/>
    <w:rsid w:val="00AD7B8C"/>
    <w:pPr>
      <w:jc w:val="left"/>
    </w:pPr>
    <w:rPr>
      <w:b/>
      <w:bCs/>
    </w:rPr>
  </w:style>
  <w:style w:type="character" w:customStyle="1" w:styleId="a8">
    <w:name w:val="批注主题 字符"/>
    <w:basedOn w:val="a7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9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10"/>
    <w:rsid w:val="00AD7B8C"/>
    <w:pPr>
      <w:ind w:left="100" w:leftChars="2500"/>
    </w:pPr>
  </w:style>
  <w:style w:type="character" w:customStyle="1" w:styleId="a9">
    <w:name w:val="日期 字符"/>
    <w:basedOn w:val="DefaultParagraphFont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10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Heading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Heading6"/>
    <w:rsid w:val="00AD7B8C"/>
    <w:rPr>
      <w:rFonts w:cs="宋体"/>
      <w:szCs w:val="20"/>
    </w:rPr>
  </w:style>
  <w:style w:type="paragraph" w:customStyle="1" w:styleId="22">
    <w:name w:val="样式 图表目录 + 左侧:  2 字符 悬挂缩进: 2 字符"/>
    <w:basedOn w:val="TableofFigures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TableofFigures"/>
    <w:autoRedefine/>
    <w:rsid w:val="00AD7B8C"/>
    <w:rPr>
      <w:rFonts w:cs="宋体"/>
    </w:rPr>
  </w:style>
  <w:style w:type="paragraph" w:customStyle="1" w:styleId="111">
    <w:name w:val="样式 11 磅 右"/>
    <w:basedOn w:val="Normal"/>
    <w:next w:val="Normal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Normal"/>
    <w:next w:val="Normal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Normal"/>
    <w:next w:val="Normal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Normal"/>
    <w:next w:val="Normal"/>
    <w:rsid w:val="00AD7B8C"/>
    <w:pPr>
      <w:jc w:val="left"/>
    </w:pPr>
    <w:rPr>
      <w:rFonts w:cs="宋体"/>
      <w:kern w:val="0"/>
      <w:szCs w:val="20"/>
    </w:rPr>
  </w:style>
  <w:style w:type="paragraph" w:customStyle="1" w:styleId="a10">
    <w:name w:val="样式 加粗 倾斜 左"/>
    <w:basedOn w:val="Normal"/>
    <w:next w:val="Normal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2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Normal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3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DefaultParagraphFont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0">
    <w:name w:val="正文-段落"/>
    <w:basedOn w:val="Normal"/>
    <w:link w:val="-1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14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ListParagraph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14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14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DefaultParagraphFont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DefaultParagraphFont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DefaultParagraphFont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3">
    <w:name w:val="目录2"/>
    <w:basedOn w:val="TOC2"/>
    <w:next w:val="TOC2"/>
    <w:link w:val="24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DefaultParagraphFont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4">
    <w:name w:val="目录2 字符"/>
    <w:basedOn w:val="TOC20"/>
    <w:link w:val="23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TableNormal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00">
    <w:name w:val="未处理的提及3_0"/>
    <w:basedOn w:val="DefaultParagraphFont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Normal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DefaultParagraphFont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ListTable1LightAccent1">
    <w:name w:val="List Table 1 Light Accent 1"/>
    <w:basedOn w:val="TableNormal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15">
    <w:name w:val="概述"/>
    <w:basedOn w:val="Style1"/>
    <w:link w:val="a16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DefaultParagraphFont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16">
    <w:name w:val="概述 字符"/>
    <w:basedOn w:val="Style10"/>
    <w:link w:val="a15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">
    <w:name w:val="彩色网格 - 强调文字颜色 51"/>
    <w:basedOn w:val="TableNormal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">
    <w:name w:val="彩色网格 - 强调文字颜色 31"/>
    <w:basedOn w:val="TableNormal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0">
    <w:name w:val="深色列表 - 强调文字颜色 31"/>
    <w:basedOn w:val="TableNormal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TableNormal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0">
    <w:name w:val="深色列表 - 强调文字颜色 51"/>
    <w:basedOn w:val="TableNormal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TableNormal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1">
    <w:name w:val="浅色列表 - 强调文字颜色 31"/>
    <w:basedOn w:val="TableNormal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TableNormal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TableNormal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TableNormal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TableNormal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TableNormal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TableNormal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1">
    <w:name w:val="浅色列表 - 强调文字颜色 51"/>
    <w:basedOn w:val="TableNormal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TableNormal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TableNormal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TableNormal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TableNormal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TableNormal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TableNormal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TableNormal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Emphasis">
    <w:name w:val="Emphasis"/>
    <w:rsid w:val="009076B9"/>
    <w:rPr>
      <w:i/>
      <w:iCs/>
    </w:rPr>
  </w:style>
  <w:style w:type="character" w:customStyle="1" w:styleId="400">
    <w:name w:val="未处理的提及4_0"/>
    <w:basedOn w:val="DefaultParagraphFont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">
    <w:name w:val="标题 7 字符"/>
    <w:basedOn w:val="DefaultParagraphFont"/>
    <w:link w:val="Heading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">
    <w:name w:val="标题 8 字符"/>
    <w:basedOn w:val="DefaultParagraphFont"/>
    <w:link w:val="Heading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2">
    <w:name w:val="未处理的提及5"/>
    <w:basedOn w:val="DefaultParagraphFont"/>
    <w:uiPriority w:val="99"/>
    <w:semiHidden/>
    <w:unhideWhenUsed/>
    <w:rsid w:val="009623B2"/>
    <w:rPr>
      <w:color w:val="605E5C"/>
      <w:shd w:val="clear" w:color="auto" w:fill="E1DFDD"/>
    </w:rPr>
  </w:style>
  <w:style w:type="table" w:styleId="ListTable2Accent2">
    <w:name w:val="List Table 2 Accent 2"/>
    <w:basedOn w:val="TableNormal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GridTable2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">
    <w:name w:val="Grid Table 2"/>
    <w:basedOn w:val="TableNormal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Accent4">
    <w:name w:val="Grid Table 2 Accent 4"/>
    <w:basedOn w:val="TableNormal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Accent5">
    <w:name w:val="Grid Table 2 Accent 5"/>
    <w:basedOn w:val="TableNormal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2">
    <w:name w:val="季度-样式"/>
    <w:basedOn w:val="TableNormal"/>
    <w:uiPriority w:val="99"/>
    <w:rsid w:val="009623B2"/>
    <w:tblPr/>
  </w:style>
  <w:style w:type="table" w:styleId="ListTable2Accent5">
    <w:name w:val="List Table 2 Accent 5"/>
    <w:basedOn w:val="TableNormal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Accent5">
    <w:name w:val="List Table 1 Light Accent 5"/>
    <w:basedOn w:val="TableNormal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3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9C77F-A8DE-416F-A2F8-FE3DCC1B3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hz</cp:lastModifiedBy>
  <cp:revision>799</cp:revision>
  <dcterms:created xsi:type="dcterms:W3CDTF">2021-11-11T07:47:00Z</dcterms:created>
  <dcterms:modified xsi:type="dcterms:W3CDTF">2023-11-06T02:28:00Z</dcterms:modified>
</cp:coreProperties>
</file>