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F43DB">
      <w:pPr>
        <w:pStyle w:val="167"/>
        <w:rPr>
          <w:lang w:eastAsia="zh-CN"/>
        </w:rPr>
      </w:pPr>
      <w:bookmarkStart w:id="0" w:name="_Toc517262917"/>
      <w:bookmarkStart w:id="1" w:name="_Toc438987549"/>
      <w:bookmarkStart w:id="2" w:name="_Toc481801204"/>
      <w:bookmarkStart w:id="3" w:name="OLE_LINK15"/>
      <w:bookmarkStart w:id="4" w:name="_Toc415818939"/>
      <w:bookmarkStart w:id="5" w:name="OLE_LINK13"/>
      <w:bookmarkStart w:id="6" w:name="_Toc415143481"/>
      <w:bookmarkStart w:id="7" w:name="_Toc415142861"/>
      <w:bookmarkStart w:id="8" w:name="_Toc418070112"/>
      <w:bookmarkStart w:id="9" w:name="_Toc453597319"/>
      <w:bookmarkStart w:id="10" w:name="OLE_LINK24"/>
      <w:bookmarkStart w:id="11" w:name="OLE_LINK39"/>
      <w:bookmarkStart w:id="12" w:name="OLE_LINK40"/>
      <w:r>
        <w:drawing>
          <wp:inline distT="0" distB="0" distL="114300" distR="114300">
            <wp:extent cx="6184265" cy="4579620"/>
            <wp:effectExtent l="0" t="0" r="698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4265" cy="4579620"/>
                    </a:xfrm>
                    <a:prstGeom prst="rect">
                      <a:avLst/>
                    </a:prstGeom>
                    <a:noFill/>
                    <a:ln>
                      <a:noFill/>
                    </a:ln>
                  </pic:spPr>
                </pic:pic>
              </a:graphicData>
            </a:graphic>
          </wp:inline>
        </w:drawing>
      </w:r>
      <w:r>
        <w:rPr>
          <w:lang w:eastAsia="zh-CN"/>
        </w:rPr>
        <w:t>动态数据驱动仿真服务</w:t>
      </w:r>
      <w:r>
        <w:rPr>
          <w:rFonts w:hint="eastAsia"/>
          <w:lang w:eastAsia="zh-CN"/>
        </w:rPr>
        <w:t>定义</w:t>
      </w:r>
    </w:p>
    <w:p w14:paraId="53EAFFBA">
      <w:pPr>
        <w:pStyle w:val="145"/>
        <w:rPr>
          <w:lang w:eastAsia="zh-CN"/>
        </w:rPr>
      </w:pPr>
      <w:r>
        <w:rPr>
          <w:rFonts w:hint="eastAsia"/>
          <w:lang w:eastAsia="zh-CN"/>
        </w:rPr>
        <w:t>动态数据驱动仿真服务是一种技术服务模式，它利用实时或频繁更新的数据输入，持续修正、优化和重构仿真模型。通过将传感器数据、业务系统数据或外部环境数据与仿真引擎紧密耦合，该模型能够在运行过程中持续准确地反映实际状态，从而提高预测精度、决策支持能力和系统运行优化水平。该服务广泛应用于工业制造、能源系统、交通运输、智慧城市和航空航天等领域，以实现更加灵活、智能和高可靠性的动态仿真与管理。</w:t>
      </w:r>
    </w:p>
    <w:p w14:paraId="1513CAF5">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动态数据驱动仿真服务图片</w:t>
      </w:r>
    </w:p>
    <w:p w14:paraId="335DDDA4">
      <w:pPr>
        <w:pStyle w:val="145"/>
        <w:rPr>
          <w:lang w:val="en-US" w:eastAsia="zh-CN"/>
        </w:rPr>
      </w:pPr>
      <w:r>
        <w:drawing>
          <wp:inline distT="0" distB="0" distL="0" distR="0">
            <wp:extent cx="2286000" cy="1276350"/>
            <wp:effectExtent l="0" t="0" r="0" b="0"/>
            <wp:docPr id="547000486" name="图片 2" descr="Data-Driven Modeling &amp; Relational Data in Simio | Sim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000486" name="图片 2" descr="Data-Driven Modeling &amp; Relational Data in Simio | Simi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286000" cy="1276350"/>
                    </a:xfrm>
                    <a:prstGeom prst="rect">
                      <a:avLst/>
                    </a:prstGeom>
                    <a:noFill/>
                    <a:ln>
                      <a:noFill/>
                    </a:ln>
                  </pic:spPr>
                </pic:pic>
              </a:graphicData>
            </a:graphic>
          </wp:inline>
        </w:drawing>
      </w:r>
    </w:p>
    <w:p w14:paraId="4A2BD911">
      <w:pPr>
        <w:pStyle w:val="143"/>
        <w:rPr>
          <w:lang w:eastAsia="zh-CN"/>
        </w:rPr>
      </w:pPr>
      <w:r>
        <w:rPr>
          <w:rFonts w:hint="eastAsia"/>
          <w:lang w:eastAsia="zh-CN"/>
        </w:rPr>
        <w:t>第三方资料、新闻报道及QYResearch整理研究，2025年</w:t>
      </w:r>
    </w:p>
    <w:p w14:paraId="4E4F50E9">
      <w:pPr>
        <w:pStyle w:val="145"/>
        <w:rPr>
          <w:lang w:eastAsia="zh-CN"/>
        </w:rPr>
      </w:pPr>
      <w:r>
        <w:rPr>
          <w:rFonts w:hint="eastAsia"/>
          <w:lang w:eastAsia="zh-CN"/>
        </w:rPr>
        <w:t>动态数据驱动仿真服务是一种先进的仿真方法，它深度集成了实时数据、连续和离散仿真模型以及人工智能算法。通过利用真实世界的运行数据不断校准和驱动模型，它能够对复杂系统进行预测、优化和智能决策支持。这项服务广泛应用于工业制造、能源电力、航空航天、汽车和交通运输等行业，能够提高运营效率、降低成本并控制风险。混合仿真凭借其系统级建模能力和高商业价值，已成为增长最快、利润最高的细分市场。总体而言，随着工业数字化、物联网和云计算的发展，动态数据驱动仿真正从一种工程工具演变为企业级智能运营和战略决策的关键基础能力。</w:t>
      </w:r>
    </w:p>
    <w:p w14:paraId="53DFCCD7">
      <w:pPr>
        <w:pStyle w:val="145"/>
        <w:rPr>
          <w:lang w:eastAsia="zh-CN"/>
        </w:rPr>
      </w:pPr>
      <w:r>
        <w:rPr>
          <w:rFonts w:hint="eastAsia"/>
          <w:lang w:eastAsia="zh-CN"/>
        </w:rPr>
        <w:t>从区域来看，北美目前是全球最大的消费市场，预计到2025年市场份额将达到44.06%，其次是欧洲和亚太地区，分别占30.02%和20.73%。</w:t>
      </w:r>
    </w:p>
    <w:p w14:paraId="6A169402">
      <w:pPr>
        <w:pStyle w:val="145"/>
        <w:rPr>
          <w:lang w:eastAsia="zh-CN"/>
        </w:rPr>
      </w:pPr>
      <w:r>
        <w:rPr>
          <w:rFonts w:hint="eastAsia"/>
          <w:lang w:eastAsia="zh-CN"/>
        </w:rPr>
        <w:t>就产品类型收入份额而言，连续仿真目前是全球应用最广泛的仿真技术，预计2025年将占44.93%。同时，就应用领域收入份额而言，工业制造应用预计2025年将占38.34%左右。</w:t>
      </w:r>
    </w:p>
    <w:p w14:paraId="525D5715">
      <w:pPr>
        <w:pStyle w:val="167"/>
        <w:rPr>
          <w:lang w:eastAsia="zh-CN"/>
        </w:rPr>
      </w:pPr>
      <w:r>
        <w:rPr>
          <w:lang w:eastAsia="zh-CN"/>
        </w:rPr>
        <w:t>动态数据驱动仿真服务</w:t>
      </w:r>
      <w:r>
        <w:rPr>
          <w:rFonts w:hint="eastAsia"/>
          <w:lang w:eastAsia="zh-CN"/>
        </w:rPr>
        <w:t>全球市场总体规模</w:t>
      </w:r>
    </w:p>
    <w:p w14:paraId="4D38E3C6">
      <w:pPr>
        <w:pStyle w:val="145"/>
        <w:rPr>
          <w:lang w:eastAsia="zh-CN"/>
        </w:rPr>
      </w:pPr>
      <w:r>
        <w:rPr>
          <w:rFonts w:hint="eastAsia"/>
          <w:lang w:eastAsia="zh-CN"/>
        </w:rPr>
        <w:t>据QYResearch调研团队最新报告“全球动态数据驱动仿真服务市场报告2025-2030”显示，预计2030年全球动态数据驱动仿真服务市场规模将达到212.3亿美元，未来几年年复合增长率CAGR为16.9%。</w:t>
      </w:r>
    </w:p>
    <w:p w14:paraId="3F6C272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动态数据驱动仿真服务</w:t>
      </w:r>
      <w:r>
        <w:rPr>
          <w:rFonts w:hint="eastAsia"/>
          <w:lang w:eastAsia="zh-CN"/>
        </w:rPr>
        <w:t>，全球市场总体规模</w:t>
      </w:r>
    </w:p>
    <w:p w14:paraId="33261207">
      <w:pPr>
        <w:pStyle w:val="145"/>
        <w:rPr>
          <w:lang w:eastAsia="zh-CN"/>
        </w:rPr>
      </w:pPr>
      <w:r>
        <w:drawing>
          <wp:inline distT="0" distB="0" distL="0" distR="0">
            <wp:extent cx="6188710" cy="2954655"/>
            <wp:effectExtent l="0" t="0" r="2540" b="0"/>
            <wp:docPr id="86001583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48964BA">
      <w:pPr>
        <w:pStyle w:val="143"/>
        <w:rPr>
          <w:lang w:eastAsia="zh-CN"/>
        </w:rPr>
      </w:pPr>
      <w:r>
        <w:rPr>
          <w:rFonts w:hint="eastAsia"/>
          <w:lang w:eastAsia="zh-CN"/>
        </w:rPr>
        <w:t>如上图表/数据，摘自QYResearch最新报告“全球</w:t>
      </w:r>
      <w:r>
        <w:rPr>
          <w:lang w:eastAsia="zh-CN"/>
        </w:rPr>
        <w:t>动态数据驱动仿真服务</w:t>
      </w:r>
      <w:r>
        <w:rPr>
          <w:rFonts w:hint="eastAsia"/>
          <w:lang w:eastAsia="zh-CN"/>
        </w:rPr>
        <w:t>市场研究报告2025-2031”</w:t>
      </w:r>
      <w:r>
        <w:rPr>
          <w:lang w:eastAsia="zh-CN"/>
        </w:rPr>
        <w:t>.</w:t>
      </w:r>
    </w:p>
    <w:p w14:paraId="12FD9BEF">
      <w:pPr>
        <w:pStyle w:val="145"/>
        <w:rPr>
          <w:lang w:eastAsia="zh-CN"/>
        </w:rPr>
      </w:pPr>
    </w:p>
    <w:p w14:paraId="720E31E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w:t>
      </w:r>
      <w:r>
        <w:rPr>
          <w:lang w:eastAsia="zh-CN"/>
        </w:rPr>
        <w:t>动态数据驱动仿真服务</w:t>
      </w:r>
      <w:r>
        <w:rPr>
          <w:rFonts w:hint="eastAsia"/>
          <w:lang w:eastAsia="zh-CN"/>
        </w:rPr>
        <w:t>市场前20强生产商排名及市场占有率（基于2025年调研数据；目前最新数据以本公司最新调研数据为准）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3771900" cy="5991225"/>
            <wp:effectExtent l="0" t="0" r="0" b="0"/>
            <wp:docPr id="1345038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4A43543">
      <w:pPr>
        <w:pStyle w:val="143"/>
        <w:rPr>
          <w:lang w:eastAsia="zh-CN"/>
        </w:rPr>
      </w:pPr>
      <w:r>
        <w:rPr>
          <w:rFonts w:hint="eastAsia"/>
          <w:lang w:eastAsia="zh-CN"/>
        </w:rPr>
        <w:t>如上图表/数据，摘自QYResearch报告“全球</w:t>
      </w:r>
      <w:r>
        <w:rPr>
          <w:lang w:eastAsia="zh-CN"/>
        </w:rPr>
        <w:t>动态数据驱动仿真服务</w:t>
      </w:r>
      <w:r>
        <w:rPr>
          <w:rFonts w:hint="eastAsia"/>
          <w:lang w:eastAsia="zh-CN"/>
        </w:rPr>
        <w:t>市场研究报告2025-2031”，排名基于2025数据。目前最新数据，以本公司最新调研数据为准。</w:t>
      </w:r>
    </w:p>
    <w:p w14:paraId="3B2E5865">
      <w:pPr>
        <w:pStyle w:val="145"/>
        <w:rPr>
          <w:lang w:eastAsia="zh-CN"/>
        </w:rPr>
      </w:pPr>
      <w:r>
        <w:rPr>
          <w:rFonts w:hint="eastAsia"/>
          <w:lang w:eastAsia="zh-CN"/>
        </w:rPr>
        <w:t>根据QYResearch头部企业研究中心调研，全球范围内动态数据驱动仿真服务生产商主要包括Siemens、General Electric、Rockwell Automation、PTC、IBM、Dassault Systèmes、Schneider Electric、ANSYS、NVIDIA、Emerson等。2025年，全球前十强厂商占有大约54.0%的市场份额。</w:t>
      </w:r>
    </w:p>
    <w:p w14:paraId="19A9AF05">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动态数据驱动仿真服务</w:t>
      </w:r>
      <w:r>
        <w:rPr>
          <w:rFonts w:hint="eastAsia"/>
          <w:lang w:eastAsia="zh-CN"/>
        </w:rPr>
        <w:t>，全球市场规模，按产品类型细分</w:t>
      </w:r>
    </w:p>
    <w:p w14:paraId="1DAC1641">
      <w:pPr>
        <w:pStyle w:val="145"/>
        <w:rPr>
          <w:lang w:eastAsia="zh-CN"/>
        </w:rPr>
      </w:pPr>
      <w:r>
        <w:drawing>
          <wp:inline distT="0" distB="0" distL="0" distR="0">
            <wp:extent cx="6188710" cy="2922270"/>
            <wp:effectExtent l="0" t="0" r="2540" b="0"/>
            <wp:docPr id="12276239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DDE815E">
      <w:pPr>
        <w:pStyle w:val="143"/>
        <w:rPr>
          <w:lang w:eastAsia="zh-CN"/>
        </w:rPr>
      </w:pPr>
      <w:r>
        <w:rPr>
          <w:rFonts w:hint="eastAsia"/>
          <w:lang w:eastAsia="zh-CN"/>
        </w:rPr>
        <w:t>如上图表/数据，摘自QYResearch最新报告“全球</w:t>
      </w:r>
      <w:r>
        <w:rPr>
          <w:lang w:eastAsia="zh-CN"/>
        </w:rPr>
        <w:t>动态数据驱动仿真服务</w:t>
      </w:r>
      <w:r>
        <w:rPr>
          <w:rFonts w:hint="eastAsia"/>
          <w:lang w:eastAsia="zh-CN"/>
        </w:rPr>
        <w:t>市场研究报告2025-2031”</w:t>
      </w:r>
      <w:r>
        <w:rPr>
          <w:lang w:eastAsia="zh-CN"/>
        </w:rPr>
        <w:t>.</w:t>
      </w:r>
    </w:p>
    <w:p w14:paraId="41C3AE68">
      <w:pPr>
        <w:pStyle w:val="145"/>
        <w:rPr>
          <w:lang w:eastAsia="zh-CN"/>
        </w:rPr>
      </w:pPr>
      <w:r>
        <w:rPr>
          <w:rFonts w:hint="eastAsia"/>
          <w:lang w:eastAsia="zh-CN"/>
        </w:rPr>
        <w:t>就产品类型而言，目前连续仿真是最主要的细分产品，占据大约44.9%的份额。</w:t>
      </w:r>
    </w:p>
    <w:p w14:paraId="0A4DB270">
      <w:pPr>
        <w:pStyle w:val="148"/>
        <w:numPr>
          <w:numId w:val="0"/>
        </w:numPr>
        <w:ind w:left="357" w:leftChars="0" w:hanging="357" w:firstLineChars="0"/>
        <w:rPr>
          <w:rFonts w:hint="eastAsia"/>
          <w:lang w:eastAsia="zh-CN"/>
        </w:rPr>
      </w:pPr>
      <w:r>
        <w:rPr>
          <w:rFonts w:hint="default" w:ascii="Tahoma" w:hAnsi="Tahoma" w:eastAsia="宋体" w:cs="Arial"/>
          <w:b/>
          <w:color w:val="FF8200"/>
          <w:kern w:val="0"/>
          <w:sz w:val="21"/>
          <w:szCs w:val="22"/>
          <w:lang w:val="en-IN" w:eastAsia="zh-CN" w:bidi="ar-SA"/>
        </w:rPr>
        <w:t xml:space="preserve">图.   </w:t>
      </w:r>
      <w:r>
        <w:rPr>
          <w:lang w:eastAsia="zh-CN"/>
        </w:rPr>
        <w:t>动态数据驱动仿真服务</w:t>
      </w:r>
      <w:r>
        <w:rPr>
          <w:rFonts w:hint="eastAsia"/>
          <w:lang w:eastAsia="zh-CN"/>
        </w:rPr>
        <w:t>，全球市场规模，按应用细分</w:t>
      </w:r>
    </w:p>
    <w:p w14:paraId="1F9213C6">
      <w:pPr>
        <w:widowControl/>
        <w:topLinePunct w:val="0"/>
        <w:spacing w:after="0"/>
        <w:jc w:val="left"/>
        <w:rPr>
          <w:rFonts w:hint="eastAsia" w:ascii="宋体" w:hAnsi="宋体" w:cs="宋体"/>
          <w:kern w:val="0"/>
          <w:sz w:val="24"/>
          <w:szCs w:val="24"/>
        </w:rPr>
      </w:pPr>
      <w:r>
        <w:drawing>
          <wp:inline distT="0" distB="0" distL="0" distR="0">
            <wp:extent cx="6188710" cy="2922270"/>
            <wp:effectExtent l="0" t="0" r="2540" b="0"/>
            <wp:docPr id="6978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8CA65EC">
      <w:pPr>
        <w:pStyle w:val="143"/>
        <w:rPr>
          <w:lang w:eastAsia="zh-CN"/>
        </w:rPr>
      </w:pPr>
      <w:r>
        <w:rPr>
          <w:rFonts w:hint="eastAsia"/>
          <w:lang w:eastAsia="zh-CN"/>
        </w:rPr>
        <w:t>如上图表/数据，摘自QYResearch最新报告“全球</w:t>
      </w:r>
      <w:r>
        <w:rPr>
          <w:lang w:eastAsia="zh-CN"/>
        </w:rPr>
        <w:t>动态数据驱动仿真服务</w:t>
      </w:r>
      <w:r>
        <w:rPr>
          <w:rFonts w:hint="eastAsia"/>
          <w:lang w:eastAsia="zh-CN"/>
        </w:rPr>
        <w:t>市场研究报告2025-2031”</w:t>
      </w:r>
      <w:r>
        <w:rPr>
          <w:lang w:eastAsia="zh-CN"/>
        </w:rPr>
        <w:t>.</w:t>
      </w:r>
    </w:p>
    <w:p w14:paraId="4B5D90DE">
      <w:pPr>
        <w:pStyle w:val="145"/>
        <w:rPr>
          <w:lang w:eastAsia="zh-CN"/>
        </w:rPr>
      </w:pPr>
      <w:r>
        <w:rPr>
          <w:rFonts w:hint="eastAsia"/>
          <w:lang w:eastAsia="zh-CN"/>
        </w:rPr>
        <w:t>就产品应用而言，目前工业制造是最主要的需求来源，占据大约38.3%的份额。</w:t>
      </w:r>
      <w:bookmarkStart w:id="13" w:name="_GoBack"/>
      <w:bookmarkEnd w:id="13"/>
    </w:p>
    <w:p w14:paraId="0CD10F4E">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全球主要市场</w:t>
      </w:r>
      <w:r>
        <w:rPr>
          <w:lang w:eastAsia="zh-CN"/>
        </w:rPr>
        <w:t>动态数据驱动仿真服务</w:t>
      </w:r>
      <w:r>
        <w:rPr>
          <w:rFonts w:hint="eastAsia"/>
          <w:lang w:eastAsia="zh-CN"/>
        </w:rPr>
        <w:t>规模</w:t>
      </w:r>
    </w:p>
    <w:p w14:paraId="4B44D8E9">
      <w:pPr>
        <w:pStyle w:val="145"/>
        <w:rPr>
          <w:lang w:val="en-US" w:eastAsia="zh-CN"/>
        </w:rPr>
      </w:pPr>
      <w:r>
        <w:drawing>
          <wp:inline distT="0" distB="0" distL="0" distR="0">
            <wp:extent cx="6188710" cy="2922270"/>
            <wp:effectExtent l="0" t="0" r="2540" b="0"/>
            <wp:docPr id="114463903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ED2BDF6">
      <w:pPr>
        <w:pStyle w:val="145"/>
        <w:rPr>
          <w:lang w:val="en-US" w:eastAsia="zh-CN"/>
        </w:rPr>
      </w:pPr>
      <w:r>
        <w:drawing>
          <wp:inline distT="0" distB="0" distL="0" distR="0">
            <wp:extent cx="6188710" cy="2922270"/>
            <wp:effectExtent l="0" t="0" r="2540" b="0"/>
            <wp:docPr id="9556883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7A95001">
      <w:pPr>
        <w:pStyle w:val="145"/>
        <w:rPr>
          <w:lang w:eastAsia="zh-CN"/>
        </w:rPr>
      </w:pPr>
      <w:r>
        <w:rPr>
          <w:rFonts w:hint="eastAsia"/>
          <w:lang w:eastAsia="zh-CN"/>
        </w:rPr>
        <w:t>如上图表/数据，摘自QYResearch最新报告“全球</w:t>
      </w:r>
      <w:r>
        <w:rPr>
          <w:lang w:eastAsia="zh-CN"/>
        </w:rPr>
        <w:t>动态数据驱动仿真服务</w:t>
      </w:r>
      <w:r>
        <w:rPr>
          <w:rFonts w:hint="eastAsia"/>
          <w:lang w:eastAsia="zh-CN"/>
        </w:rPr>
        <w:t>市场研究报告2025-2031”</w:t>
      </w:r>
      <w:r>
        <w:rPr>
          <w:lang w:eastAsia="zh-CN"/>
        </w:rPr>
        <w:t>.</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4F"/>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BBC"/>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058"/>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44"/>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85D"/>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DDB"/>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07"/>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51D"/>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B70"/>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3EF5"/>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DC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CEB"/>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6AF"/>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A2E"/>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337"/>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2F86"/>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3A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3AD"/>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18"/>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39A"/>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B2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EDA"/>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F835CB1"/>
    <w:rsid w:val="58DF5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chartUserShapes" Target="../drawings/drawing1.xml"/><Relationship Id="rId1" Type="http://schemas.openxmlformats.org/officeDocument/2006/relationships/oleObject" Target="file:///E:\&#24037;&#20316;\&#26434;&#39033;\&#33931;&#38182;&#31168;-&#23459;&#20256;&#25991;&#20214;\&#35266;&#28857;&#23459;&#20256;\&#27169;&#26495;\V3\&#35266;&#28857;&#25968;&#25454;&#22270;&#34920;&#27169;&#26495;-&#27169;&#26495;%2020240426%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E:\&#24037;&#20316;\&#26434;&#39033;\&#33931;&#38182;&#31168;-&#23459;&#20256;&#25991;&#20214;\&#35266;&#28857;&#23459;&#20256;\&#27169;&#26495;\V3\&#35266;&#28857;&#25968;&#25454;&#22270;&#34920;&#27169;&#26495;-&#27169;&#26495;%2020240426%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E:\&#24037;&#20316;\&#26434;&#39033;\&#33931;&#38182;&#31168;-&#23459;&#20256;&#25991;&#20214;\&#35266;&#28857;&#23459;&#20256;\&#27169;&#26495;\V3\&#35266;&#28857;&#25968;&#25454;&#22270;&#34920;&#27169;&#26495;-&#27169;&#26495;%2020240426%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E:\&#24037;&#20316;\&#26434;&#39033;\&#33931;&#38182;&#31168;-&#23459;&#20256;&#25991;&#20214;\&#35266;&#28857;&#23459;&#20256;\&#27169;&#26495;\V3\&#35266;&#28857;&#25968;&#25454;&#22270;&#34920;&#27169;&#26495;-&#27169;&#26495;%2020240426%20&#20026;&#2093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4037;&#20316;\&#26434;&#39033;\&#33931;&#38182;&#31168;-&#23459;&#20256;&#25991;&#20214;\&#35266;&#28857;&#23459;&#20256;\&#27169;&#26495;\V3\&#35266;&#28857;&#25968;&#25454;&#22270;&#34920;&#27169;&#26495;-&#27169;&#26495;%2020240426%20&#20026;&#20934;.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24037;&#20316;\&#26434;&#39033;\&#33931;&#38182;&#31168;-&#23459;&#20256;&#25991;&#20214;\&#35266;&#28857;&#23459;&#20256;\&#27169;&#26495;\V3\&#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a:t>
            </a:r>
            <a:endParaRPr lang="en-US"/>
          </a:p>
        </c:rich>
      </c:tx>
      <c:layout/>
      <c:overlay val="0"/>
      <c:spPr>
        <a:noFill/>
        <a:ln>
          <a:noFill/>
        </a:ln>
        <a:effectLst/>
      </c:spPr>
    </c:title>
    <c:autoTitleDeleted val="0"/>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2020</c:v>
                </c:pt>
                <c:pt idx="1">
                  <c:v>2025</c:v>
                </c:pt>
                <c:pt idx="2">
                  <c:v>2031</c:v>
                </c:pt>
              </c:numCache>
            </c:numRef>
          </c:cat>
          <c:val>
            <c:numRef>
              <c:f>全球总体!$S$7:$U$7</c:f>
              <c:numCache>
                <c:formatCode>#,##0_ </c:formatCode>
                <c:ptCount val="3"/>
                <c:pt idx="0">
                  <c:v>4147.03</c:v>
                </c:pt>
                <c:pt idx="1">
                  <c:v>8333.83</c:v>
                </c:pt>
                <c:pt idx="2">
                  <c:v>21225.87</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e40c05de-ec93-47e5-90af-0fbe608fdb5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Pt>
            <c:idx val="7"/>
            <c:invertIfNegative val="0"/>
            <c:bubble3D val="0"/>
            <c:spPr>
              <a:solidFill>
                <a:srgbClr val="002060"/>
              </a:solidFill>
              <a:ln>
                <a:noFill/>
              </a:ln>
              <a:effectLst/>
            </c:spPr>
          </c:dPt>
          <c:dPt>
            <c:idx val="8"/>
            <c:invertIfNegative val="0"/>
            <c:bubble3D val="0"/>
            <c:spPr>
              <a:solidFill>
                <a:srgbClr val="002060"/>
              </a:solidFill>
              <a:ln>
                <a:noFill/>
              </a:ln>
              <a:effectLst/>
            </c:spPr>
          </c:dPt>
          <c:dPt>
            <c:idx val="9"/>
            <c:invertIfNegative val="0"/>
            <c:bubble3D val="0"/>
            <c:spPr>
              <a:solidFill>
                <a:srgbClr val="002060"/>
              </a:solidFill>
              <a:ln>
                <a:noFill/>
              </a:ln>
              <a:effectLst/>
            </c:spPr>
          </c:dPt>
          <c:dPt>
            <c:idx val="10"/>
            <c:invertIfNegative val="0"/>
            <c:bubble3D val="0"/>
            <c:spPr>
              <a:solidFill>
                <a:srgbClr val="002060"/>
              </a:solidFill>
              <a:ln>
                <a:noFill/>
              </a:ln>
              <a:effectLst/>
            </c:spPr>
          </c:dPt>
          <c:dPt>
            <c:idx val="11"/>
            <c:invertIfNegative val="0"/>
            <c:bubble3D val="0"/>
            <c:spPr>
              <a:solidFill>
                <a:srgbClr val="002060"/>
              </a:solidFill>
              <a:ln>
                <a:noFill/>
              </a:ln>
              <a:effectLst/>
            </c:spPr>
          </c:dPt>
          <c:dPt>
            <c:idx val="12"/>
            <c:invertIfNegative val="0"/>
            <c:bubble3D val="0"/>
            <c:spPr>
              <a:solidFill>
                <a:srgbClr val="002060"/>
              </a:solidFill>
              <a:ln>
                <a:noFill/>
              </a:ln>
              <a:effectLst/>
            </c:spPr>
          </c:dPt>
          <c:dPt>
            <c:idx val="13"/>
            <c:invertIfNegative val="0"/>
            <c:bubble3D val="0"/>
            <c:spPr>
              <a:solidFill>
                <a:srgbClr val="002060"/>
              </a:solidFill>
              <a:ln>
                <a:noFill/>
              </a:ln>
              <a:effectLst/>
            </c:spPr>
          </c:dPt>
          <c:dPt>
            <c:idx val="14"/>
            <c:invertIfNegative val="0"/>
            <c:bubble3D val="0"/>
            <c:spPr>
              <a:solidFill>
                <a:srgbClr val="002060"/>
              </a:solidFill>
              <a:ln>
                <a:noFill/>
              </a:ln>
              <a:effectLst/>
            </c:spPr>
          </c:dPt>
          <c:dPt>
            <c:idx val="15"/>
            <c:invertIfNegative val="0"/>
            <c:bubble3D val="0"/>
            <c:spPr>
              <a:solidFill>
                <a:srgbClr val="002060"/>
              </a:solidFill>
              <a:ln>
                <a:noFill/>
              </a:ln>
              <a:effectLst/>
            </c:spPr>
          </c:dPt>
          <c:dPt>
            <c:idx val="16"/>
            <c:invertIfNegative val="0"/>
            <c:bubble3D val="0"/>
            <c:spPr>
              <a:solidFill>
                <a:srgbClr val="002060"/>
              </a:solidFill>
              <a:ln>
                <a:noFill/>
              </a:ln>
              <a:effectLst/>
            </c:spPr>
          </c:dPt>
          <c:dPt>
            <c:idx val="17"/>
            <c:invertIfNegative val="0"/>
            <c:bubble3D val="0"/>
            <c:spPr>
              <a:solidFill>
                <a:srgbClr val="002060"/>
              </a:solidFill>
              <a:ln>
                <a:noFill/>
              </a:ln>
              <a:effectLst/>
            </c:spPr>
          </c:dPt>
          <c:dPt>
            <c:idx val="18"/>
            <c:invertIfNegative val="0"/>
            <c:bubble3D val="0"/>
            <c:spPr>
              <a:solidFill>
                <a:srgbClr val="002060"/>
              </a:solidFill>
              <a:ln>
                <a:noFill/>
              </a:ln>
              <a:effectLst/>
            </c:spPr>
          </c:dPt>
          <c:dPt>
            <c:idx val="19"/>
            <c:invertIfNegative val="0"/>
            <c:bubble3D val="0"/>
            <c:spPr>
              <a:solidFill>
                <a:srgbClr val="002060"/>
              </a:solidFill>
              <a:ln>
                <a:noFill/>
              </a:ln>
              <a:effectLst/>
            </c:spPr>
          </c:dPt>
          <c:dLbls>
            <c:delete val="1"/>
          </c:dLbls>
          <c:cat>
            <c:strRef>
              <c:f>企业收入!$H$2:$H$21</c:f>
              <c:strCache>
                <c:ptCount val="20"/>
                <c:pt idx="0">
                  <c:v>Siemens</c:v>
                </c:pt>
                <c:pt idx="1">
                  <c:v>General Electric</c:v>
                </c:pt>
                <c:pt idx="2">
                  <c:v>Rockwell Automation</c:v>
                </c:pt>
                <c:pt idx="3">
                  <c:v>PTC</c:v>
                </c:pt>
                <c:pt idx="4">
                  <c:v>IBM</c:v>
                </c:pt>
                <c:pt idx="5">
                  <c:v>Dassault Systèmes</c:v>
                </c:pt>
                <c:pt idx="6">
                  <c:v>Schneider Electric</c:v>
                </c:pt>
                <c:pt idx="7">
                  <c:v>ANSYS</c:v>
                </c:pt>
                <c:pt idx="8">
                  <c:v>NVIDIA</c:v>
                </c:pt>
                <c:pt idx="9">
                  <c:v>Emerson</c:v>
                </c:pt>
                <c:pt idx="10">
                  <c:v>ABB</c:v>
                </c:pt>
                <c:pt idx="11">
                  <c:v>Microsoft</c:v>
                </c:pt>
                <c:pt idx="12">
                  <c:v>SAP</c:v>
                </c:pt>
                <c:pt idx="13">
                  <c:v>Amazon</c:v>
                </c:pt>
                <c:pt idx="14">
                  <c:v>华为</c:v>
                </c:pt>
                <c:pt idx="15">
                  <c:v>SCALE GmbH</c:v>
                </c:pt>
                <c:pt idx="16">
                  <c:v>Oracle Corporation</c:v>
                </c:pt>
                <c:pt idx="17">
                  <c:v>Honeywell</c:v>
                </c:pt>
                <c:pt idx="18">
                  <c:v>Hexagon</c:v>
                </c:pt>
                <c:pt idx="19">
                  <c:v>Accenture</c:v>
                </c:pt>
              </c:strCache>
            </c:strRef>
          </c:cat>
          <c:val>
            <c:numRef>
              <c:f>企业收入!$I$2:$I$21</c:f>
              <c:numCache>
                <c:formatCode>0.0%</c:formatCode>
                <c:ptCount val="20"/>
                <c:pt idx="0">
                  <c:v>0.127418161067607</c:v>
                </c:pt>
                <c:pt idx="1">
                  <c:v>0.101309931410104</c:v>
                </c:pt>
                <c:pt idx="2">
                  <c:v>0.0617817553137394</c:v>
                </c:pt>
                <c:pt idx="3">
                  <c:v>0.0570626687910325</c:v>
                </c:pt>
                <c:pt idx="4">
                  <c:v>0.0550244641061279</c:v>
                </c:pt>
                <c:pt idx="5">
                  <c:v>0.044005729007763</c:v>
                </c:pt>
                <c:pt idx="6">
                  <c:v>0.0402979762025831</c:v>
                </c:pt>
                <c:pt idx="7">
                  <c:v>0.0287467371775314</c:v>
                </c:pt>
                <c:pt idx="8">
                  <c:v>0.0253313671649886</c:v>
                </c:pt>
                <c:pt idx="9">
                  <c:v>0.0228778941659039</c:v>
                </c:pt>
                <c:pt idx="10">
                  <c:v>0.0220473575375436</c:v>
                </c:pt>
                <c:pt idx="11">
                  <c:v>0.0193438760635954</c:v>
                </c:pt>
                <c:pt idx="12">
                  <c:v>0.0150216956507</c:v>
                </c:pt>
                <c:pt idx="13">
                  <c:v>0.013452433415822</c:v>
                </c:pt>
                <c:pt idx="14">
                  <c:v>0.0122023910415042</c:v>
                </c:pt>
                <c:pt idx="15">
                  <c:v>0.010216448015187</c:v>
                </c:pt>
                <c:pt idx="16">
                  <c:v>0.00921500163847362</c:v>
                </c:pt>
                <c:pt idx="17">
                  <c:v>0.00894380600472332</c:v>
                </c:pt>
                <c:pt idx="18">
                  <c:v>0.00796354678689673</c:v>
                </c:pt>
                <c:pt idx="19">
                  <c:v>0.00595076669265625</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365b0903-b115-4383-bf15-93860753c5a4}"/>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连续仿真</c:v>
                </c:pt>
              </c:strCache>
            </c:strRef>
          </c:tx>
          <c:spPr>
            <a:solidFill>
              <a:srgbClr val="00206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分类!$S$2:$AD$2</c:f>
              <c:numCache>
                <c:formatCode>0.0%</c:formatCode>
                <c:ptCount val="12"/>
                <c:pt idx="0">
                  <c:v>0.470351070525171</c:v>
                </c:pt>
                <c:pt idx="1">
                  <c:v>0.462665852560105</c:v>
                </c:pt>
                <c:pt idx="2">
                  <c:v>0.457746950490313</c:v>
                </c:pt>
                <c:pt idx="3">
                  <c:v>0.454686504034509</c:v>
                </c:pt>
                <c:pt idx="4">
                  <c:v>0.449276529147881</c:v>
                </c:pt>
                <c:pt idx="5">
                  <c:v>0.444365915791419</c:v>
                </c:pt>
                <c:pt idx="6">
                  <c:v>0.439598813937757</c:v>
                </c:pt>
                <c:pt idx="7">
                  <c:v>0.433775760323703</c:v>
                </c:pt>
                <c:pt idx="8">
                  <c:v>0.431571291216229</c:v>
                </c:pt>
                <c:pt idx="9">
                  <c:v>0.427744453893877</c:v>
                </c:pt>
                <c:pt idx="10">
                  <c:v>0.427178909948116</c:v>
                </c:pt>
                <c:pt idx="11">
                  <c:v>0.425317784382925</c:v>
                </c:pt>
              </c:numCache>
            </c:numRef>
          </c:val>
        </c:ser>
        <c:ser>
          <c:idx val="1"/>
          <c:order val="1"/>
          <c:tx>
            <c:strRef>
              <c:f>分类!$R$3</c:f>
              <c:strCache>
                <c:ptCount val="1"/>
                <c:pt idx="0">
                  <c:v>离散仿真</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分类!$S$3:$AD$3</c:f>
              <c:numCache>
                <c:formatCode>0.0%</c:formatCode>
                <c:ptCount val="12"/>
                <c:pt idx="0">
                  <c:v>0.357243617721598</c:v>
                </c:pt>
                <c:pt idx="1">
                  <c:v>0.363834182082727</c:v>
                </c:pt>
                <c:pt idx="2">
                  <c:v>0.367695766563023</c:v>
                </c:pt>
                <c:pt idx="3">
                  <c:v>0.369873685840264</c:v>
                </c:pt>
                <c:pt idx="4">
                  <c:v>0.374542357368046</c:v>
                </c:pt>
                <c:pt idx="5">
                  <c:v>0.378723828059848</c:v>
                </c:pt>
                <c:pt idx="6">
                  <c:v>0.382432851686273</c:v>
                </c:pt>
                <c:pt idx="7">
                  <c:v>0.387360933183401</c:v>
                </c:pt>
                <c:pt idx="8">
                  <c:v>0.389336867076335</c:v>
                </c:pt>
                <c:pt idx="9">
                  <c:v>0.393429215805807</c:v>
                </c:pt>
                <c:pt idx="10">
                  <c:v>0.39515260585605</c:v>
                </c:pt>
                <c:pt idx="11">
                  <c:v>0.398284263495442</c:v>
                </c:pt>
              </c:numCache>
            </c:numRef>
          </c:val>
        </c:ser>
        <c:ser>
          <c:idx val="2"/>
          <c:order val="2"/>
          <c:tx>
            <c:strRef>
              <c:f>分类!$R$4</c:f>
              <c:strCache>
                <c:ptCount val="1"/>
                <c:pt idx="0">
                  <c:v>其他</c:v>
                </c:pt>
              </c:strCache>
            </c:strRef>
          </c:tx>
          <c:spPr>
            <a:solidFill>
              <a:schemeClr val="accent3"/>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分类!$S$4:$AD$4</c:f>
              <c:numCache>
                <c:formatCode>0.0%</c:formatCode>
                <c:ptCount val="12"/>
                <c:pt idx="0">
                  <c:v>0.172405311753231</c:v>
                </c:pt>
                <c:pt idx="1">
                  <c:v>0.173499965357168</c:v>
                </c:pt>
                <c:pt idx="2">
                  <c:v>0.174557282946664</c:v>
                </c:pt>
                <c:pt idx="3">
                  <c:v>0.175439810125227</c:v>
                </c:pt>
                <c:pt idx="4">
                  <c:v>0.176181113484073</c:v>
                </c:pt>
                <c:pt idx="5">
                  <c:v>0.176910256148734</c:v>
                </c:pt>
                <c:pt idx="6">
                  <c:v>0.17796833437597</c:v>
                </c:pt>
                <c:pt idx="7">
                  <c:v>0.178863306492896</c:v>
                </c:pt>
                <c:pt idx="8">
                  <c:v>0.179091841707436</c:v>
                </c:pt>
                <c:pt idx="9">
                  <c:v>0.178826330300316</c:v>
                </c:pt>
                <c:pt idx="10">
                  <c:v>0.177668484195834</c:v>
                </c:pt>
                <c:pt idx="11">
                  <c:v>0.176397952121633</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dd560170-c856-4f92-88c9-35506bece8f6}"/>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工业制造</c:v>
                </c:pt>
              </c:strCache>
            </c:strRef>
          </c:tx>
          <c:spPr>
            <a:solidFill>
              <a:srgbClr val="002060"/>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应用!$B$2:$M$2</c:f>
              <c:numCache>
                <c:formatCode>#,##0_);[Red]\(#,##0\)</c:formatCode>
                <c:ptCount val="12"/>
                <c:pt idx="0">
                  <c:v>1656.53</c:v>
                </c:pt>
                <c:pt idx="1">
                  <c:v>1831.02</c:v>
                </c:pt>
                <c:pt idx="2">
                  <c:v>2051.51</c:v>
                </c:pt>
                <c:pt idx="3">
                  <c:v>2352.69</c:v>
                </c:pt>
                <c:pt idx="4">
                  <c:v>2713.96</c:v>
                </c:pt>
                <c:pt idx="5">
                  <c:v>3158.97</c:v>
                </c:pt>
                <c:pt idx="6">
                  <c:v>3684.52</c:v>
                </c:pt>
                <c:pt idx="7">
                  <c:v>4326.22</c:v>
                </c:pt>
                <c:pt idx="8">
                  <c:v>5025.63</c:v>
                </c:pt>
                <c:pt idx="9">
                  <c:v>5834.28</c:v>
                </c:pt>
                <c:pt idx="10">
                  <c:v>6683.73</c:v>
                </c:pt>
                <c:pt idx="11">
                  <c:v>7574.67</c:v>
                </c:pt>
              </c:numCache>
            </c:numRef>
          </c:val>
        </c:ser>
        <c:ser>
          <c:idx val="1"/>
          <c:order val="1"/>
          <c:tx>
            <c:strRef>
              <c:f>应用!$A$3</c:f>
              <c:strCache>
                <c:ptCount val="1"/>
                <c:pt idx="0">
                  <c:v>能源与电力</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应用!$B$3:$M$3</c:f>
              <c:numCache>
                <c:formatCode>#,##0_);[Red]\(#,##0\)</c:formatCode>
                <c:ptCount val="12"/>
                <c:pt idx="0">
                  <c:v>939.2</c:v>
                </c:pt>
                <c:pt idx="1">
                  <c:v>1049.78</c:v>
                </c:pt>
                <c:pt idx="2">
                  <c:v>1200.52</c:v>
                </c:pt>
                <c:pt idx="3">
                  <c:v>1405.02</c:v>
                </c:pt>
                <c:pt idx="4">
                  <c:v>1663.57</c:v>
                </c:pt>
                <c:pt idx="5">
                  <c:v>1977.59</c:v>
                </c:pt>
                <c:pt idx="6">
                  <c:v>2359.63</c:v>
                </c:pt>
                <c:pt idx="7">
                  <c:v>2826.01</c:v>
                </c:pt>
                <c:pt idx="8">
                  <c:v>3358.91</c:v>
                </c:pt>
                <c:pt idx="9">
                  <c:v>3953</c:v>
                </c:pt>
                <c:pt idx="10">
                  <c:v>4632.5</c:v>
                </c:pt>
                <c:pt idx="11">
                  <c:v>5395.4</c:v>
                </c:pt>
              </c:numCache>
            </c:numRef>
          </c:val>
        </c:ser>
        <c:ser>
          <c:idx val="2"/>
          <c:order val="2"/>
          <c:tx>
            <c:strRef>
              <c:f>应用!$A$4</c:f>
              <c:strCache>
                <c:ptCount val="1"/>
                <c:pt idx="0">
                  <c:v>航空航天</c:v>
                </c:pt>
              </c:strCache>
            </c:strRef>
          </c:tx>
          <c:spPr>
            <a:solidFill>
              <a:schemeClr val="accent3"/>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应用!$B$4:$M$4</c:f>
              <c:numCache>
                <c:formatCode>#,##0_);[Red]\(#,##0\)</c:formatCode>
                <c:ptCount val="12"/>
                <c:pt idx="0">
                  <c:v>460.72</c:v>
                </c:pt>
                <c:pt idx="1">
                  <c:v>515.11</c:v>
                </c:pt>
                <c:pt idx="2">
                  <c:v>584.5</c:v>
                </c:pt>
                <c:pt idx="3">
                  <c:v>681.62</c:v>
                </c:pt>
                <c:pt idx="4">
                  <c:v>799.47</c:v>
                </c:pt>
                <c:pt idx="5">
                  <c:v>945.09</c:v>
                </c:pt>
                <c:pt idx="6">
                  <c:v>1113.21</c:v>
                </c:pt>
                <c:pt idx="7">
                  <c:v>1309.19</c:v>
                </c:pt>
                <c:pt idx="8">
                  <c:v>1541.55</c:v>
                </c:pt>
                <c:pt idx="9">
                  <c:v>1799.68</c:v>
                </c:pt>
                <c:pt idx="10">
                  <c:v>2090.75</c:v>
                </c:pt>
                <c:pt idx="11">
                  <c:v>2409.69</c:v>
                </c:pt>
              </c:numCache>
            </c:numRef>
          </c:val>
        </c:ser>
        <c:ser>
          <c:idx val="3"/>
          <c:order val="3"/>
          <c:tx>
            <c:strRef>
              <c:f>应用!$A$5</c:f>
              <c:strCache>
                <c:ptCount val="1"/>
                <c:pt idx="0">
                  <c:v>汽车与交通运输</c:v>
                </c:pt>
              </c:strCache>
            </c:strRef>
          </c:tx>
          <c:spPr>
            <a:solidFill>
              <a:schemeClr val="accent4"/>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应用!$B$5:$M$5</c:f>
              <c:numCache>
                <c:formatCode>#,##0_);[Red]\(#,##0\)</c:formatCode>
                <c:ptCount val="12"/>
                <c:pt idx="0">
                  <c:v>512.35</c:v>
                </c:pt>
                <c:pt idx="1">
                  <c:v>572.64</c:v>
                </c:pt>
                <c:pt idx="2">
                  <c:v>650.7</c:v>
                </c:pt>
                <c:pt idx="3">
                  <c:v>764.27</c:v>
                </c:pt>
                <c:pt idx="4">
                  <c:v>896.47</c:v>
                </c:pt>
                <c:pt idx="5">
                  <c:v>1062.02</c:v>
                </c:pt>
                <c:pt idx="6">
                  <c:v>1261.95</c:v>
                </c:pt>
                <c:pt idx="7">
                  <c:v>1501.64</c:v>
                </c:pt>
                <c:pt idx="8">
                  <c:v>1779.25</c:v>
                </c:pt>
                <c:pt idx="9">
                  <c:v>2080.15</c:v>
                </c:pt>
                <c:pt idx="10">
                  <c:v>2424.7</c:v>
                </c:pt>
                <c:pt idx="11">
                  <c:v>2810.02</c:v>
                </c:pt>
              </c:numCache>
            </c:numRef>
          </c:val>
        </c:ser>
        <c:ser>
          <c:idx val="4"/>
          <c:order val="4"/>
          <c:tx>
            <c:strRef>
              <c:f>应用!$A$6</c:f>
              <c:strCache>
                <c:ptCount val="1"/>
                <c:pt idx="0">
                  <c:v>其他</c:v>
                </c:pt>
              </c:strCache>
            </c:strRef>
          </c:tx>
          <c:spPr>
            <a:solidFill>
              <a:schemeClr val="accent5"/>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应用!$B$6:$M$6</c:f>
              <c:numCache>
                <c:formatCode>#,##0_);[Red]\(#,##0\)</c:formatCode>
                <c:ptCount val="12"/>
                <c:pt idx="0">
                  <c:v>578.23</c:v>
                </c:pt>
                <c:pt idx="1">
                  <c:v>650.01</c:v>
                </c:pt>
                <c:pt idx="2">
                  <c:v>739.02</c:v>
                </c:pt>
                <c:pt idx="3">
                  <c:v>867.77</c:v>
                </c:pt>
                <c:pt idx="4">
                  <c:v>1006.29</c:v>
                </c:pt>
                <c:pt idx="5">
                  <c:v>1190.16</c:v>
                </c:pt>
                <c:pt idx="6">
                  <c:v>1411.54</c:v>
                </c:pt>
                <c:pt idx="7">
                  <c:v>1659.95</c:v>
                </c:pt>
                <c:pt idx="8">
                  <c:v>1961</c:v>
                </c:pt>
                <c:pt idx="9">
                  <c:v>2277.41</c:v>
                </c:pt>
                <c:pt idx="10">
                  <c:v>2638.45</c:v>
                </c:pt>
                <c:pt idx="11">
                  <c:v>3036.09</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57112962962963"/>
          <c:h val="0.065846405228758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ecae7c43-6f3f-4338-bf7f-2b8986facc7c}"/>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2020 Vs 2025 VS 2031</a:t>
            </a:r>
            <a:endParaRPr lang="zh-CN" altLang="en-US" sz="12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15586419753086"/>
          <c:y val="0.132436928104575"/>
          <c:w val="0.956882716049383"/>
          <c:h val="0.662032679738562"/>
        </c:manualLayout>
      </c:layout>
      <c:barChart>
        <c:barDir val="col"/>
        <c:grouping val="clustered"/>
        <c:varyColors val="0"/>
        <c:ser>
          <c:idx val="0"/>
          <c:order val="0"/>
          <c:tx>
            <c:strRef>
              <c:f>'地区-消费'!$AE$1</c:f>
              <c:strCache>
                <c:ptCount val="1"/>
                <c:pt idx="0">
                  <c:v>2020</c:v>
                </c:pt>
              </c:strCache>
            </c:strRef>
          </c:tx>
          <c:spPr>
            <a:solidFill>
              <a:srgbClr val="FFC000"/>
            </a:solidFill>
            <a:ln>
              <a:noFill/>
            </a:ln>
            <a:effectLst/>
          </c:spPr>
          <c:invertIfNegative val="0"/>
          <c:dLbls>
            <c:delete val="1"/>
          </c:dLbls>
          <c:cat>
            <c:strRef>
              <c:f>'地区-消费'!$AD$2:$AD$6</c:f>
              <c:strCache>
                <c:ptCount val="5"/>
                <c:pt idx="0">
                  <c:v>北美</c:v>
                </c:pt>
                <c:pt idx="1">
                  <c:v>欧洲</c:v>
                </c:pt>
                <c:pt idx="2">
                  <c:v>亚太地区</c:v>
                </c:pt>
                <c:pt idx="3">
                  <c:v>中南美洲</c:v>
                </c:pt>
                <c:pt idx="4">
                  <c:v>中东和非洲</c:v>
                </c:pt>
              </c:strCache>
            </c:strRef>
          </c:cat>
          <c:val>
            <c:numRef>
              <c:f>'地区-消费'!$AE$2:$AE$6</c:f>
              <c:numCache>
                <c:formatCode>#,##0_);[Red]\(#,##0\)</c:formatCode>
                <c:ptCount val="5"/>
                <c:pt idx="0">
                  <c:v>1815.98</c:v>
                </c:pt>
                <c:pt idx="1">
                  <c:v>1296.36</c:v>
                </c:pt>
                <c:pt idx="2">
                  <c:v>801.62</c:v>
                </c:pt>
                <c:pt idx="3">
                  <c:v>80.87</c:v>
                </c:pt>
                <c:pt idx="4">
                  <c:v>152.2</c:v>
                </c:pt>
              </c:numCache>
            </c:numRef>
          </c:val>
        </c:ser>
        <c:ser>
          <c:idx val="1"/>
          <c:order val="1"/>
          <c:tx>
            <c:strRef>
              <c:f>'地区-消费'!$AF$1</c:f>
              <c:strCache>
                <c:ptCount val="1"/>
                <c:pt idx="0">
                  <c:v>2024</c:v>
                </c:pt>
              </c:strCache>
            </c:strRef>
          </c:tx>
          <c:spPr>
            <a:solidFill>
              <a:schemeClr val="bg1">
                <a:lumMod val="50000"/>
              </a:schemeClr>
            </a:solidFill>
            <a:ln>
              <a:noFill/>
            </a:ln>
            <a:effectLst/>
          </c:spPr>
          <c:invertIfNegative val="0"/>
          <c:dLbls>
            <c:delete val="1"/>
          </c:dLbls>
          <c:cat>
            <c:strRef>
              <c:f>'地区-消费'!$AD$2:$AD$6</c:f>
              <c:strCache>
                <c:ptCount val="5"/>
                <c:pt idx="0">
                  <c:v>北美</c:v>
                </c:pt>
                <c:pt idx="1">
                  <c:v>欧洲</c:v>
                </c:pt>
                <c:pt idx="2">
                  <c:v>亚太地区</c:v>
                </c:pt>
                <c:pt idx="3">
                  <c:v>中南美洲</c:v>
                </c:pt>
                <c:pt idx="4">
                  <c:v>中东和非洲</c:v>
                </c:pt>
              </c:strCache>
            </c:strRef>
          </c:cat>
          <c:val>
            <c:numRef>
              <c:f>'地区-消费'!$AF$2:$AF$6</c:f>
              <c:numCache>
                <c:formatCode>#,##0_);[Red]\(#,##0\)</c:formatCode>
                <c:ptCount val="5"/>
                <c:pt idx="0">
                  <c:v>3119.21</c:v>
                </c:pt>
                <c:pt idx="1">
                  <c:v>2125.62</c:v>
                </c:pt>
                <c:pt idx="2">
                  <c:v>1467.3</c:v>
                </c:pt>
                <c:pt idx="3">
                  <c:v>129.93</c:v>
                </c:pt>
                <c:pt idx="4">
                  <c:v>237.7</c:v>
                </c:pt>
              </c:numCache>
            </c:numRef>
          </c:val>
        </c:ser>
        <c:ser>
          <c:idx val="2"/>
          <c:order val="2"/>
          <c:tx>
            <c:strRef>
              <c:f>'地区-消费'!$AG$1</c:f>
              <c:strCache>
                <c:ptCount val="1"/>
                <c:pt idx="0">
                  <c:v>2031</c:v>
                </c:pt>
              </c:strCache>
            </c:strRef>
          </c:tx>
          <c:spPr>
            <a:solidFill>
              <a:srgbClr val="002060"/>
            </a:solidFill>
            <a:ln>
              <a:noFill/>
            </a:ln>
            <a:effectLst/>
          </c:spPr>
          <c:invertIfNegative val="0"/>
          <c:dLbls>
            <c:delete val="1"/>
          </c:dLbls>
          <c:cat>
            <c:strRef>
              <c:f>'地区-消费'!$AD$2:$AD$6</c:f>
              <c:strCache>
                <c:ptCount val="5"/>
                <c:pt idx="0">
                  <c:v>北美</c:v>
                </c:pt>
                <c:pt idx="1">
                  <c:v>欧洲</c:v>
                </c:pt>
                <c:pt idx="2">
                  <c:v>亚太地区</c:v>
                </c:pt>
                <c:pt idx="3">
                  <c:v>中南美洲</c:v>
                </c:pt>
                <c:pt idx="4">
                  <c:v>中东和非洲</c:v>
                </c:pt>
              </c:strCache>
            </c:strRef>
          </c:cat>
          <c:val>
            <c:numRef>
              <c:f>'地区-消费'!$AG$2:$AG$6</c:f>
              <c:numCache>
                <c:formatCode>#,##0_);[Red]\(#,##0\)</c:formatCode>
                <c:ptCount val="5"/>
                <c:pt idx="0">
                  <c:v>9504.88</c:v>
                </c:pt>
                <c:pt idx="1">
                  <c:v>6074.76</c:v>
                </c:pt>
                <c:pt idx="2">
                  <c:v>4816.95</c:v>
                </c:pt>
                <c:pt idx="3">
                  <c:v>321.8</c:v>
                </c:pt>
                <c:pt idx="4">
                  <c:v>507.48</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8ed07dc2-9fe7-4ae3-bf34-dee6dda989af}"/>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'地区-消费'!$B$2:$M$2</c:f>
              <c:numCache>
                <c:formatCode>#,##0_);[Red]\(#,##0\)</c:formatCode>
                <c:ptCount val="12"/>
                <c:pt idx="0">
                  <c:v>1815.98</c:v>
                </c:pt>
                <c:pt idx="1">
                  <c:v>2016.74</c:v>
                </c:pt>
                <c:pt idx="2">
                  <c:v>2276.69</c:v>
                </c:pt>
                <c:pt idx="3">
                  <c:v>2650.71</c:v>
                </c:pt>
                <c:pt idx="4">
                  <c:v>3119.21</c:v>
                </c:pt>
                <c:pt idx="5">
                  <c:v>3675.26</c:v>
                </c:pt>
                <c:pt idx="6">
                  <c:v>4312.39</c:v>
                </c:pt>
                <c:pt idx="7">
                  <c:v>5097.57</c:v>
                </c:pt>
                <c:pt idx="8">
                  <c:v>6004.1</c:v>
                </c:pt>
                <c:pt idx="9">
                  <c:v>7054.79</c:v>
                </c:pt>
                <c:pt idx="10">
                  <c:v>8204.25</c:v>
                </c:pt>
                <c:pt idx="11">
                  <c:v>9504.88</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'地区-消费'!$B$3:$M$3</c:f>
              <c:numCache>
                <c:formatCode>#,##0_);[Red]\(#,##0\)</c:formatCode>
                <c:ptCount val="12"/>
                <c:pt idx="0">
                  <c:v>1296.36</c:v>
                </c:pt>
                <c:pt idx="1">
                  <c:v>1442.07</c:v>
                </c:pt>
                <c:pt idx="2">
                  <c:v>1625.07</c:v>
                </c:pt>
                <c:pt idx="3">
                  <c:v>1887.84</c:v>
                </c:pt>
                <c:pt idx="4">
                  <c:v>2125.62</c:v>
                </c:pt>
                <c:pt idx="5">
                  <c:v>2492.29</c:v>
                </c:pt>
                <c:pt idx="6">
                  <c:v>2956.6</c:v>
                </c:pt>
                <c:pt idx="7">
                  <c:v>3475.48</c:v>
                </c:pt>
                <c:pt idx="8">
                  <c:v>4053.45</c:v>
                </c:pt>
                <c:pt idx="9">
                  <c:v>4665.12</c:v>
                </c:pt>
                <c:pt idx="10">
                  <c:v>5359.29</c:v>
                </c:pt>
                <c:pt idx="11">
                  <c:v>6074.76</c:v>
                </c:pt>
              </c:numCache>
            </c:numRef>
          </c:val>
        </c:ser>
        <c:ser>
          <c:idx val="2"/>
          <c:order val="2"/>
          <c:tx>
            <c:strRef>
              <c:f>'地区-消费'!$A$4</c:f>
              <c:strCache>
                <c:ptCount val="1"/>
                <c:pt idx="0">
                  <c:v>亚太地区</c:v>
                </c:pt>
              </c:strCache>
            </c:strRef>
          </c:tx>
          <c:spPr>
            <a:solidFill>
              <a:srgbClr val="0070C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'地区-消费'!$B$4:$M$4</c:f>
              <c:numCache>
                <c:formatCode>#,##0_);[Red]\(#,##0\)</c:formatCode>
                <c:ptCount val="12"/>
                <c:pt idx="0">
                  <c:v>801.62</c:v>
                </c:pt>
                <c:pt idx="1">
                  <c:v>901.02</c:v>
                </c:pt>
                <c:pt idx="2">
                  <c:v>1035.72</c:v>
                </c:pt>
                <c:pt idx="3">
                  <c:v>1204.75</c:v>
                </c:pt>
                <c:pt idx="4">
                  <c:v>1467.3</c:v>
                </c:pt>
                <c:pt idx="5">
                  <c:v>1738.75</c:v>
                </c:pt>
                <c:pt idx="6">
                  <c:v>2073.63</c:v>
                </c:pt>
                <c:pt idx="7">
                  <c:v>2495.41</c:v>
                </c:pt>
                <c:pt idx="8">
                  <c:v>2985.26</c:v>
                </c:pt>
                <c:pt idx="9">
                  <c:v>3530.07</c:v>
                </c:pt>
                <c:pt idx="10">
                  <c:v>4142.54</c:v>
                </c:pt>
                <c:pt idx="11">
                  <c:v>4816.95</c:v>
                </c:pt>
              </c:numCache>
            </c:numRef>
          </c:val>
        </c:ser>
        <c:ser>
          <c:idx val="3"/>
          <c:order val="3"/>
          <c:tx>
            <c:strRef>
              <c:f>'地区-消费'!$A$5</c:f>
              <c:strCache>
                <c:ptCount val="1"/>
                <c:pt idx="0">
                  <c:v>中南美洲</c:v>
                </c:pt>
              </c:strCache>
            </c:strRef>
          </c:tx>
          <c:spPr>
            <a:solidFill>
              <a:srgbClr val="FFC00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'地区-消费'!$B$5:$M$5</c:f>
              <c:numCache>
                <c:formatCode>#,##0_);[Red]\(#,##0\)</c:formatCode>
                <c:ptCount val="12"/>
                <c:pt idx="0">
                  <c:v>80.87</c:v>
                </c:pt>
                <c:pt idx="1">
                  <c:v>89.54</c:v>
                </c:pt>
                <c:pt idx="2">
                  <c:v>101.22</c:v>
                </c:pt>
                <c:pt idx="3">
                  <c:v>117.55</c:v>
                </c:pt>
                <c:pt idx="4">
                  <c:v>129.93</c:v>
                </c:pt>
                <c:pt idx="5">
                  <c:v>152.11</c:v>
                </c:pt>
                <c:pt idx="6">
                  <c:v>176.98</c:v>
                </c:pt>
                <c:pt idx="7">
                  <c:v>203.99</c:v>
                </c:pt>
                <c:pt idx="8">
                  <c:v>232.59</c:v>
                </c:pt>
                <c:pt idx="9">
                  <c:v>264.43</c:v>
                </c:pt>
                <c:pt idx="10">
                  <c:v>294.2</c:v>
                </c:pt>
                <c:pt idx="11">
                  <c:v>321.8</c:v>
                </c:pt>
              </c:numCache>
            </c:numRef>
          </c:val>
        </c:ser>
        <c:ser>
          <c:idx val="4"/>
          <c:order val="4"/>
          <c:tx>
            <c:strRef>
              <c:f>'地区-消费'!$A$6</c:f>
              <c:strCache>
                <c:ptCount val="1"/>
                <c:pt idx="0">
                  <c:v>中东和非洲</c:v>
                </c:pt>
              </c:strCache>
            </c:strRef>
          </c:tx>
          <c:spPr>
            <a:solidFill>
              <a:schemeClr val="accent5"/>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'地区-消费'!$B$6:$M$6</c:f>
              <c:numCache>
                <c:formatCode>#,##0_);[Red]\(#,##0\)</c:formatCode>
                <c:ptCount val="12"/>
                <c:pt idx="0">
                  <c:v>152.2</c:v>
                </c:pt>
                <c:pt idx="1">
                  <c:v>169.19</c:v>
                </c:pt>
                <c:pt idx="2">
                  <c:v>187.55</c:v>
                </c:pt>
                <c:pt idx="3">
                  <c:v>210.52</c:v>
                </c:pt>
                <c:pt idx="4">
                  <c:v>237.7</c:v>
                </c:pt>
                <c:pt idx="5">
                  <c:v>275.42</c:v>
                </c:pt>
                <c:pt idx="6">
                  <c:v>311.25</c:v>
                </c:pt>
                <c:pt idx="7">
                  <c:v>350.56</c:v>
                </c:pt>
                <c:pt idx="8">
                  <c:v>390.94</c:v>
                </c:pt>
                <c:pt idx="9">
                  <c:v>430.11</c:v>
                </c:pt>
                <c:pt idx="10">
                  <c:v>469.85</c:v>
                </c:pt>
                <c:pt idx="11">
                  <c:v>507.48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91ae473e-87fd-4108-bad7-ad06473e0494}"/>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0.5765</cdr:x>
      <cdr:y>0.43713</cdr:y>
    </cdr:from>
    <cdr:to>
      <cdr:x>0.69897</cdr:x>
      <cdr:y>0.54301</cdr:y>
    </cdr:to>
    <cdr:sp>
      <cdr:nvSpPr>
        <cdr:cNvPr id="2" name="椭圆 1"/>
        <cdr:cNvSpPr/>
      </cdr:nvSpPr>
      <cdr:spPr xmlns:a="http://schemas.openxmlformats.org/drawingml/2006/main">
        <a:xfrm xmlns:a="http://schemas.openxmlformats.org/drawingml/2006/main" rot="19161436">
          <a:off x="3567814" y="1291556"/>
          <a:ext cx="757931" cy="312839"/>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0.26545</cdr:x>
      <cdr:y>0.68606</cdr:y>
    </cdr:from>
    <cdr:to>
      <cdr:x>0.38792</cdr:x>
      <cdr:y>0.79245</cdr:y>
    </cdr:to>
    <cdr:sp>
      <cdr:nvSpPr>
        <cdr:cNvPr id="3" name="椭圆 2"/>
        <cdr:cNvSpPr/>
      </cdr:nvSpPr>
      <cdr:spPr xmlns:a="http://schemas.openxmlformats.org/drawingml/2006/main">
        <a:xfrm xmlns:a="http://schemas.openxmlformats.org/drawingml/2006/main" rot="20711693">
          <a:off x="1642781" y="2027081"/>
          <a:ext cx="757931" cy="314345"/>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782E2F-E55A-4498-B776-EE3A2FA78273}">
  <ds:schemaRefs/>
</ds:datastoreItem>
</file>

<file path=docProps/app.xml><?xml version="1.0" encoding="utf-8"?>
<Properties xmlns="http://schemas.openxmlformats.org/officeDocument/2006/extended-properties" xmlns:vt="http://schemas.openxmlformats.org/officeDocument/2006/docPropsVTypes">
  <Template>Normal</Template>
  <Pages>5</Pages>
  <Words>1897</Words>
  <Characters>2295</Characters>
  <Lines>16</Lines>
  <Paragraphs>4</Paragraphs>
  <TotalTime>682</TotalTime>
  <ScaleCrop>false</ScaleCrop>
  <LinksUpToDate>false</LinksUpToDate>
  <CharactersWithSpaces>2302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2026-01-13T10:12:41Z</dcterms:modified>
  <cp:revision>890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BC7D5CE50C244F399EFBF40C72A6DA85_12</vt:lpwstr>
  </property>
</Properties>
</file>