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13C6" w:rsidRPr="000B13C6" w:rsidRDefault="000B13C6" w:rsidP="000B13C6">
      <w:pPr>
        <w:widowControl/>
        <w:spacing w:line="543" w:lineRule="atLeast"/>
        <w:jc w:val="center"/>
        <w:outlineLvl w:val="1"/>
        <w:rPr>
          <w:rFonts w:ascii="宋体" w:eastAsia="宋体" w:hAnsi="宋体" w:cs="宋体"/>
          <w:b/>
          <w:bCs/>
          <w:color w:val="000000"/>
          <w:kern w:val="36"/>
          <w:sz w:val="25"/>
          <w:szCs w:val="25"/>
        </w:rPr>
      </w:pPr>
      <w:r w:rsidRPr="000B13C6">
        <w:rPr>
          <w:rFonts w:ascii="宋体" w:eastAsia="宋体" w:hAnsi="宋体" w:cs="宋体"/>
          <w:b/>
          <w:bCs/>
          <w:color w:val="000000"/>
          <w:kern w:val="36"/>
          <w:sz w:val="25"/>
          <w:szCs w:val="25"/>
        </w:rPr>
        <w:t>YUY-1501智能直流充电设备实训台</w:t>
      </w:r>
    </w:p>
    <w:p w:rsidR="000B13C6" w:rsidRPr="000B13C6" w:rsidRDefault="000B13C6" w:rsidP="000B13C6">
      <w:pPr>
        <w:widowControl/>
        <w:spacing w:line="340" w:lineRule="atLeast"/>
        <w:jc w:val="center"/>
        <w:rPr>
          <w:rFonts w:ascii="宋体" w:eastAsia="宋体" w:hAnsi="宋体" w:cs="宋体"/>
          <w:color w:val="000000"/>
          <w:kern w:val="0"/>
          <w:sz w:val="19"/>
          <w:szCs w:val="19"/>
        </w:rPr>
      </w:pPr>
      <w:r>
        <w:rPr>
          <w:rFonts w:ascii="宋体" w:eastAsia="宋体" w:hAnsi="宋体" w:cs="宋体"/>
          <w:noProof/>
          <w:color w:val="000000"/>
          <w:kern w:val="0"/>
          <w:sz w:val="19"/>
          <w:szCs w:val="19"/>
        </w:rPr>
        <w:drawing>
          <wp:inline distT="0" distB="0" distL="0" distR="0">
            <wp:extent cx="4445552" cy="4656193"/>
            <wp:effectExtent l="19050" t="0" r="0" b="0"/>
            <wp:docPr id="2" name="图片 1" descr="http://www.sh-yuy.com/uploads/allimg/191119/1-191119110P5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h-yuy.com/uploads/allimg/191119/1-191119110P5S9.jpg"/>
                    <pic:cNvPicPr>
                      <a:picLocks noChangeAspect="1" noChangeArrowheads="1"/>
                    </pic:cNvPicPr>
                  </pic:nvPicPr>
                  <pic:blipFill>
                    <a:blip r:embed="rId6"/>
                    <a:srcRect/>
                    <a:stretch>
                      <a:fillRect/>
                    </a:stretch>
                  </pic:blipFill>
                  <pic:spPr bwMode="auto">
                    <a:xfrm>
                      <a:off x="0" y="0"/>
                      <a:ext cx="4446839" cy="4657540"/>
                    </a:xfrm>
                    <a:prstGeom prst="rect">
                      <a:avLst/>
                    </a:prstGeom>
                    <a:noFill/>
                    <a:ln w="9525">
                      <a:noFill/>
                      <a:miter lim="800000"/>
                      <a:headEnd/>
                      <a:tailEnd/>
                    </a:ln>
                  </pic:spPr>
                </pic:pic>
              </a:graphicData>
            </a:graphic>
          </wp:inline>
        </w:drawing>
      </w:r>
    </w:p>
    <w:p w:rsidR="000B13C6" w:rsidRPr="000B13C6" w:rsidRDefault="000B13C6" w:rsidP="000B13C6">
      <w:pPr>
        <w:widowControl/>
        <w:spacing w:line="340" w:lineRule="atLeast"/>
        <w:jc w:val="left"/>
        <w:rPr>
          <w:rFonts w:ascii="宋体" w:eastAsia="宋体" w:hAnsi="宋体" w:cs="宋体"/>
          <w:color w:val="000000"/>
          <w:kern w:val="0"/>
          <w:sz w:val="19"/>
          <w:szCs w:val="19"/>
        </w:rPr>
      </w:pPr>
      <w:r w:rsidRPr="000B13C6">
        <w:rPr>
          <w:rFonts w:ascii="宋体" w:eastAsia="宋体" w:hAnsi="宋体" w:cs="宋体"/>
          <w:color w:val="000000"/>
          <w:kern w:val="0"/>
          <w:sz w:val="19"/>
          <w:szCs w:val="19"/>
        </w:rPr>
        <w:t>一.产品简介</w:t>
      </w:r>
      <w:r w:rsidRPr="000B13C6">
        <w:rPr>
          <w:rFonts w:ascii="宋体" w:eastAsia="宋体" w:hAnsi="宋体" w:cs="宋体"/>
          <w:color w:val="000000"/>
          <w:kern w:val="0"/>
          <w:sz w:val="19"/>
          <w:szCs w:val="19"/>
        </w:rPr>
        <w:br/>
        <w:t>该设备完整展示了比亚迪新能源汽车直流充电装置装配与检验系统,全面展示了充电桩的装配及检验检测。配套国标充电枪与车载充电座，充电桩的装配检验装置。</w:t>
      </w:r>
      <w:r w:rsidRPr="000B13C6">
        <w:rPr>
          <w:rFonts w:ascii="宋体" w:eastAsia="宋体" w:hAnsi="宋体" w:cs="宋体"/>
          <w:color w:val="000000"/>
          <w:kern w:val="0"/>
          <w:sz w:val="19"/>
          <w:szCs w:val="19"/>
        </w:rPr>
        <w:br/>
        <w:t>适用直流充电桩的装配检验实训教学。</w:t>
      </w:r>
      <w:r w:rsidRPr="000B13C6">
        <w:rPr>
          <w:rFonts w:ascii="宋体" w:eastAsia="宋体" w:hAnsi="宋体" w:cs="宋体"/>
          <w:color w:val="000000"/>
          <w:kern w:val="0"/>
          <w:sz w:val="19"/>
          <w:szCs w:val="19"/>
        </w:rPr>
        <w:br/>
        <w:t>二.功能特点</w:t>
      </w:r>
      <w:r w:rsidRPr="000B13C6">
        <w:rPr>
          <w:rFonts w:ascii="宋体" w:eastAsia="宋体" w:hAnsi="宋体" w:cs="宋体"/>
          <w:color w:val="000000"/>
          <w:kern w:val="0"/>
          <w:sz w:val="19"/>
          <w:szCs w:val="19"/>
        </w:rPr>
        <w:br/>
        <w:t>1.详细的原理框图展示，真实可操作运行的充电装配与检验系统。</w:t>
      </w:r>
      <w:r w:rsidRPr="000B13C6">
        <w:rPr>
          <w:rFonts w:ascii="宋体" w:eastAsia="宋体" w:hAnsi="宋体" w:cs="宋体"/>
          <w:color w:val="000000"/>
          <w:kern w:val="0"/>
          <w:sz w:val="19"/>
          <w:szCs w:val="19"/>
        </w:rPr>
        <w:br/>
        <w:t>2.面板采用4mm厚耐腐蚀、耐创击、耐污染、防火、防潮的高级铝塑板，表面经特殊工艺喷涂底漆处理；面板打印有永不褪色的彩色电路图与工作原理示意图；学员可直观对照电动汽车充电系统结构原理图和实物，认识和分析电动汽车充电系统的工作原理。</w:t>
      </w:r>
      <w:r w:rsidRPr="000B13C6">
        <w:rPr>
          <w:rFonts w:ascii="宋体" w:eastAsia="宋体" w:hAnsi="宋体" w:cs="宋体"/>
          <w:color w:val="000000"/>
          <w:kern w:val="0"/>
          <w:sz w:val="19"/>
          <w:szCs w:val="19"/>
        </w:rPr>
        <w:br/>
        <w:t>3.真实的直流充电桩充电端口，便于学习充电端口管脚定义及作用。</w:t>
      </w:r>
      <w:r w:rsidRPr="000B13C6">
        <w:rPr>
          <w:rFonts w:ascii="宋体" w:eastAsia="宋体" w:hAnsi="宋体" w:cs="宋体"/>
          <w:color w:val="000000"/>
          <w:kern w:val="0"/>
          <w:sz w:val="19"/>
          <w:szCs w:val="19"/>
        </w:rPr>
        <w:br/>
        <w:t>4.面板上安装有点火开关、直流充电桩总成，工况指示灯，电源开关，充电桩检验模块与操纵开关。</w:t>
      </w:r>
      <w:r w:rsidRPr="000B13C6">
        <w:rPr>
          <w:rFonts w:ascii="宋体" w:eastAsia="宋体" w:hAnsi="宋体" w:cs="宋体"/>
          <w:color w:val="000000"/>
          <w:kern w:val="0"/>
          <w:sz w:val="19"/>
          <w:szCs w:val="19"/>
        </w:rPr>
        <w:br/>
        <w:t>5.带自锁脚轮装置，示教板底座上配有40cm左右的桌面，方便放置资料、轻型检测仪器等。</w:t>
      </w:r>
      <w:r w:rsidRPr="000B13C6">
        <w:rPr>
          <w:rFonts w:ascii="宋体" w:eastAsia="宋体" w:hAnsi="宋体" w:cs="宋体"/>
          <w:color w:val="000000"/>
          <w:kern w:val="0"/>
          <w:sz w:val="19"/>
          <w:szCs w:val="19"/>
        </w:rPr>
        <w:br/>
        <w:t>6.配套充电桩智能充电卡片。</w:t>
      </w:r>
      <w:r w:rsidRPr="000B13C6">
        <w:rPr>
          <w:rFonts w:ascii="宋体" w:eastAsia="宋体" w:hAnsi="宋体" w:cs="宋体"/>
          <w:color w:val="000000"/>
          <w:kern w:val="0"/>
          <w:sz w:val="19"/>
          <w:szCs w:val="19"/>
        </w:rPr>
        <w:br/>
        <w:t>7.安装充电桩的显示装置，同步显示数据。操作软件显示充电电压、充电电流、充电电量、充电时间等；具有三种充电模式：按金额充电、按时间充电、按电量充电等。安全保护功能，具有输入侧过压、欠压保护，输出侧过压、过流保护，过温、短路、漏电、防雷、电池防反接等保护。具有电源、充电、故障三种状态指示。核心控制板可实现刷卡信息采集处理；LTE（4G）、GSM多模通讯传输，GPS定位，</w:t>
      </w:r>
      <w:r w:rsidRPr="000B13C6">
        <w:rPr>
          <w:rFonts w:ascii="宋体" w:eastAsia="宋体" w:hAnsi="宋体" w:cs="宋体"/>
          <w:color w:val="000000"/>
          <w:kern w:val="0"/>
          <w:sz w:val="19"/>
          <w:szCs w:val="19"/>
        </w:rPr>
        <w:lastRenderedPageBreak/>
        <w:t>射频识别卡系统、电流电压参数采集处理并显示或报警；用电量采集计量、保护等功能。</w:t>
      </w:r>
      <w:r w:rsidRPr="000B13C6">
        <w:rPr>
          <w:rFonts w:ascii="宋体" w:eastAsia="宋体" w:hAnsi="宋体" w:cs="宋体"/>
          <w:color w:val="000000"/>
          <w:kern w:val="0"/>
          <w:sz w:val="19"/>
          <w:szCs w:val="19"/>
        </w:rPr>
        <w:br/>
        <w:t>8.直流充电桩产品的使用现场运行状态的检验考核及定量检验，可以帮助产品现场安装调试和验证。测试模块严格依照相关国标要求研发生产，真实模拟电动汽车充电过程，可测量充电电压、测量CP、CC等引导信号，同时可以避免实车作为检查装置因充电桩故障导致的损坏。该模块使用充电桩供电，无需外置供电。同时测量充电机的输出电压、电流、功率、纹波系数以及充电机的电能误差等参数，同时还具备BMS模拟器、绝缘电阻测试、温度采集、湿度采集、GPS北京时间校准等功能，全程可实现自动化测试。大屏幕中文菜单显示，显示信息量大，操作方便。</w:t>
      </w:r>
      <w:r w:rsidRPr="000B13C6">
        <w:rPr>
          <w:rFonts w:ascii="宋体" w:eastAsia="宋体" w:hAnsi="宋体" w:cs="宋体"/>
          <w:color w:val="000000"/>
          <w:kern w:val="0"/>
          <w:sz w:val="19"/>
          <w:szCs w:val="19"/>
        </w:rPr>
        <w:br/>
        <w:t>9.国标直流充电桩的装配检验装置。</w:t>
      </w:r>
      <w:r w:rsidRPr="000B13C6">
        <w:rPr>
          <w:rFonts w:ascii="宋体" w:eastAsia="宋体" w:hAnsi="宋体" w:cs="宋体"/>
          <w:color w:val="000000"/>
          <w:kern w:val="0"/>
          <w:sz w:val="19"/>
          <w:szCs w:val="19"/>
        </w:rPr>
        <w:br/>
        <w:t>9.1.带有上位机操作软件，10寸触摸屏操作界面，实现对充电桩的多种测试和分析方式。符合国标GB.T27930-2015《电动汽车非车载传导式充电机与电池管理系统之间的通信协议》通信协议，兼容国标GB.T27930-2011通信协议。</w:t>
      </w:r>
      <w:r w:rsidRPr="000B13C6">
        <w:rPr>
          <w:rFonts w:ascii="宋体" w:eastAsia="宋体" w:hAnsi="宋体" w:cs="宋体"/>
          <w:color w:val="000000"/>
          <w:kern w:val="0"/>
          <w:sz w:val="19"/>
          <w:szCs w:val="19"/>
        </w:rPr>
        <w:br/>
        <w:t>9.2.车辆端报文内容和报文周期全部可设置，可模拟汽车各种报文情况。</w:t>
      </w:r>
      <w:r w:rsidRPr="000B13C6">
        <w:rPr>
          <w:rFonts w:ascii="宋体" w:eastAsia="宋体" w:hAnsi="宋体" w:cs="宋体"/>
          <w:color w:val="000000"/>
          <w:kern w:val="0"/>
          <w:sz w:val="19"/>
          <w:szCs w:val="19"/>
        </w:rPr>
        <w:br/>
        <w:t>9.3.充电机CTS,CRM, CHM ,CML,CRO,CCS,CST,CSD,CEM报文状态实时显示。</w:t>
      </w:r>
      <w:r w:rsidRPr="000B13C6">
        <w:rPr>
          <w:rFonts w:ascii="宋体" w:eastAsia="宋体" w:hAnsi="宋体" w:cs="宋体"/>
          <w:color w:val="000000"/>
          <w:kern w:val="0"/>
          <w:sz w:val="19"/>
          <w:szCs w:val="19"/>
        </w:rPr>
        <w:br/>
        <w:t>9.4.通讯过程中实时的报文输出并翻译，且具有实时保存功能。相当于拥有CAN盒子的功能，方便各类相关人员的直接使用和故障分析。上位机使用USB接口直接控制，与485和232相比免去了接线和转接头的麻烦。</w:t>
      </w:r>
      <w:r w:rsidRPr="000B13C6">
        <w:rPr>
          <w:rFonts w:ascii="宋体" w:eastAsia="宋体" w:hAnsi="宋体" w:cs="宋体"/>
          <w:color w:val="000000"/>
          <w:kern w:val="0"/>
          <w:sz w:val="19"/>
          <w:szCs w:val="19"/>
        </w:rPr>
        <w:br/>
        <w:t>9.5.对充电桩的通信一致性测试，并具有输出分析报告的功能。各类报文的平均周期，发送次数，最大周期，最小周期统计。报文甘特波形图输出，对充电桩的故障分析更直观和全面。</w:t>
      </w:r>
      <w:r w:rsidRPr="000B13C6">
        <w:rPr>
          <w:rFonts w:ascii="宋体" w:eastAsia="宋体" w:hAnsi="宋体" w:cs="宋体"/>
          <w:color w:val="000000"/>
          <w:kern w:val="0"/>
          <w:sz w:val="19"/>
          <w:szCs w:val="19"/>
        </w:rPr>
        <w:br/>
        <w:t>9.6.多档位的R4电阻设置，可测试临界拔枪状态，完全拔枪状态。带有电池电压模拟，可模拟电池正接，反接，不接测试。</w:t>
      </w:r>
      <w:r w:rsidRPr="000B13C6">
        <w:rPr>
          <w:rFonts w:ascii="宋体" w:eastAsia="宋体" w:hAnsi="宋体" w:cs="宋体"/>
          <w:color w:val="000000"/>
          <w:kern w:val="0"/>
          <w:sz w:val="19"/>
          <w:szCs w:val="19"/>
        </w:rPr>
        <w:br/>
        <w:t>9.8. 具有1级电能表，实时显示充电桩输出电压，电流，功率，统计充电电量，并可将数据同步至BCS报文里面。多档位DC+,DC-漏电电阻模拟，可对充电桩的绝缘检查进行平衡和不平衡漏电测试。</w:t>
      </w:r>
      <w:r w:rsidRPr="000B13C6">
        <w:rPr>
          <w:rFonts w:ascii="宋体" w:eastAsia="宋体" w:hAnsi="宋体" w:cs="宋体"/>
          <w:color w:val="000000"/>
          <w:kern w:val="0"/>
          <w:sz w:val="19"/>
          <w:szCs w:val="19"/>
        </w:rPr>
        <w:br/>
        <w:t>9.9.互操作性部分测试，绝缘故障测试，拔枪测试，电池反接，不接等测试SOC，自动增加，可设置充电时长从而到达自动老化测试功能。</w:t>
      </w:r>
      <w:r w:rsidRPr="000B13C6">
        <w:rPr>
          <w:rFonts w:ascii="宋体" w:eastAsia="宋体" w:hAnsi="宋体" w:cs="宋体"/>
          <w:color w:val="000000"/>
          <w:kern w:val="0"/>
          <w:sz w:val="19"/>
          <w:szCs w:val="19"/>
        </w:rPr>
        <w:br/>
        <w:t>10.充电设备可以给安装国标插座的电动汽车或者新能源汽车其他设备真实充电操作。</w:t>
      </w:r>
      <w:r w:rsidRPr="000B13C6">
        <w:rPr>
          <w:rFonts w:ascii="宋体" w:eastAsia="宋体" w:hAnsi="宋体" w:cs="宋体"/>
          <w:color w:val="000000"/>
          <w:kern w:val="0"/>
          <w:sz w:val="19"/>
          <w:szCs w:val="19"/>
        </w:rPr>
        <w:br/>
        <w:t>11.设备框架采用40mm×40mm和40mm×80mm两种一体化全铝合金型材搭建，耐油耐腐蚀并易于清洁，带自锁脚轮装置，底座上配有40cm的桌面，台面铺装32mm厚彩色高密度复合板，方便放置资料、轻型检测仪器等。</w:t>
      </w:r>
      <w:r w:rsidRPr="000B13C6">
        <w:rPr>
          <w:rFonts w:ascii="宋体" w:eastAsia="宋体" w:hAnsi="宋体" w:cs="宋体"/>
          <w:color w:val="000000"/>
          <w:kern w:val="0"/>
          <w:sz w:val="19"/>
          <w:szCs w:val="19"/>
        </w:rPr>
        <w:br/>
        <w:t>三.产品组成</w:t>
      </w:r>
      <w:r w:rsidRPr="000B13C6">
        <w:rPr>
          <w:rFonts w:ascii="宋体" w:eastAsia="宋体" w:hAnsi="宋体" w:cs="宋体"/>
          <w:color w:val="000000"/>
          <w:kern w:val="0"/>
          <w:sz w:val="19"/>
          <w:szCs w:val="19"/>
        </w:rPr>
        <w:br/>
        <w:t>电动车直流单枪充电桩、智能充电卡片、显示装置、直流充电桩充电插座/充电枪、直流充电桩装配检验模块、配电箱等组成，可移动的台架。</w:t>
      </w:r>
      <w:r w:rsidRPr="000B13C6">
        <w:rPr>
          <w:rFonts w:ascii="宋体" w:eastAsia="宋体" w:hAnsi="宋体" w:cs="宋体"/>
          <w:color w:val="000000"/>
          <w:kern w:val="0"/>
          <w:sz w:val="19"/>
          <w:szCs w:val="19"/>
        </w:rPr>
        <w:br/>
        <w:t>四.技术规格</w:t>
      </w:r>
      <w:r w:rsidRPr="000B13C6">
        <w:rPr>
          <w:rFonts w:ascii="宋体" w:eastAsia="宋体" w:hAnsi="宋体" w:cs="宋体"/>
          <w:color w:val="000000"/>
          <w:kern w:val="0"/>
          <w:sz w:val="19"/>
          <w:szCs w:val="19"/>
        </w:rPr>
        <w:br/>
        <w:t>1.供电电源：AC220V ±10% 50Hz</w:t>
      </w:r>
      <w:r w:rsidRPr="000B13C6">
        <w:rPr>
          <w:rFonts w:ascii="宋体" w:eastAsia="宋体" w:hAnsi="宋体" w:cs="宋体"/>
          <w:color w:val="000000"/>
          <w:kern w:val="0"/>
          <w:sz w:val="19"/>
          <w:szCs w:val="19"/>
        </w:rPr>
        <w:br/>
        <w:t>2.供电电流：最大16A</w:t>
      </w:r>
      <w:r w:rsidRPr="000B13C6">
        <w:rPr>
          <w:rFonts w:ascii="宋体" w:eastAsia="宋体" w:hAnsi="宋体" w:cs="宋体"/>
          <w:color w:val="000000"/>
          <w:kern w:val="0"/>
          <w:sz w:val="19"/>
          <w:szCs w:val="19"/>
        </w:rPr>
        <w:br/>
        <w:t>3.工作温度：-40℃～+50℃</w:t>
      </w:r>
      <w:r w:rsidRPr="000B13C6">
        <w:rPr>
          <w:rFonts w:ascii="宋体" w:eastAsia="宋体" w:hAnsi="宋体" w:cs="宋体"/>
          <w:color w:val="000000"/>
          <w:kern w:val="0"/>
          <w:sz w:val="19"/>
          <w:szCs w:val="19"/>
        </w:rPr>
        <w:br/>
        <w:t>4.外形尺寸：1500×700×1700mm(长×宽×高)</w:t>
      </w:r>
      <w:r w:rsidRPr="000B13C6">
        <w:rPr>
          <w:rFonts w:ascii="宋体" w:eastAsia="宋体" w:hAnsi="宋体" w:cs="宋体"/>
          <w:color w:val="000000"/>
          <w:kern w:val="0"/>
          <w:sz w:val="19"/>
          <w:szCs w:val="19"/>
        </w:rPr>
        <w:br/>
        <w:t>5.产品工艺标准:</w:t>
      </w:r>
      <w:r w:rsidRPr="000B13C6">
        <w:rPr>
          <w:rFonts w:ascii="宋体" w:eastAsia="宋体" w:hAnsi="宋体" w:cs="宋体"/>
          <w:color w:val="000000"/>
          <w:kern w:val="0"/>
          <w:sz w:val="19"/>
          <w:szCs w:val="19"/>
        </w:rPr>
        <w:br/>
        <w:t>设备框架采用40mm×40mm和40mm×80mm两种一体化全铝合金型材搭建，耐油耐腐蚀并易于清洁，台面铺装32mm厚彩色高密度复合板。</w:t>
      </w:r>
      <w:r w:rsidRPr="000B13C6">
        <w:rPr>
          <w:rFonts w:ascii="宋体" w:eastAsia="宋体" w:hAnsi="宋体" w:cs="宋体"/>
          <w:color w:val="000000"/>
          <w:kern w:val="0"/>
          <w:sz w:val="19"/>
          <w:szCs w:val="19"/>
        </w:rPr>
        <w:br/>
        <w:t>6.直流充电桩：输入220V 、7KW；输出200-450V</w:t>
      </w:r>
      <w:r w:rsidRPr="000B13C6">
        <w:rPr>
          <w:rFonts w:ascii="宋体" w:eastAsia="宋体" w:hAnsi="宋体" w:cs="宋体"/>
          <w:color w:val="000000"/>
          <w:kern w:val="0"/>
          <w:sz w:val="19"/>
          <w:szCs w:val="19"/>
        </w:rPr>
        <w:br/>
        <w:t>五.实训项目</w:t>
      </w:r>
      <w:r w:rsidRPr="000B13C6">
        <w:rPr>
          <w:rFonts w:ascii="宋体" w:eastAsia="宋体" w:hAnsi="宋体" w:cs="宋体"/>
          <w:color w:val="000000"/>
          <w:kern w:val="0"/>
          <w:sz w:val="19"/>
          <w:szCs w:val="19"/>
        </w:rPr>
        <w:br/>
      </w:r>
      <w:r w:rsidRPr="000B13C6">
        <w:rPr>
          <w:rFonts w:ascii="宋体" w:eastAsia="宋体" w:hAnsi="宋体" w:cs="宋体"/>
          <w:color w:val="000000"/>
          <w:kern w:val="0"/>
          <w:sz w:val="19"/>
          <w:szCs w:val="19"/>
        </w:rPr>
        <w:lastRenderedPageBreak/>
        <w:t>1.充电桩内部电路原理实训。</w:t>
      </w:r>
      <w:r w:rsidRPr="000B13C6">
        <w:rPr>
          <w:rFonts w:ascii="宋体" w:eastAsia="宋体" w:hAnsi="宋体" w:cs="宋体"/>
          <w:color w:val="000000"/>
          <w:kern w:val="0"/>
          <w:sz w:val="19"/>
          <w:szCs w:val="19"/>
        </w:rPr>
        <w:br/>
        <w:t>2.充电桩的部件组成及作用实训。</w:t>
      </w:r>
      <w:r w:rsidRPr="000B13C6">
        <w:rPr>
          <w:rFonts w:ascii="宋体" w:eastAsia="宋体" w:hAnsi="宋体" w:cs="宋体"/>
          <w:color w:val="000000"/>
          <w:kern w:val="0"/>
          <w:sz w:val="19"/>
          <w:szCs w:val="19"/>
        </w:rPr>
        <w:br/>
        <w:t>3.充电桩的操作方法实训。</w:t>
      </w:r>
      <w:r w:rsidRPr="000B13C6">
        <w:rPr>
          <w:rFonts w:ascii="宋体" w:eastAsia="宋体" w:hAnsi="宋体" w:cs="宋体"/>
          <w:color w:val="000000"/>
          <w:kern w:val="0"/>
          <w:sz w:val="19"/>
          <w:szCs w:val="19"/>
        </w:rPr>
        <w:br/>
        <w:t>4.操作充电桩对蓄电池充电全过程实训。</w:t>
      </w:r>
      <w:r w:rsidRPr="000B13C6">
        <w:rPr>
          <w:rFonts w:ascii="宋体" w:eastAsia="宋体" w:hAnsi="宋体" w:cs="宋体"/>
          <w:color w:val="000000"/>
          <w:kern w:val="0"/>
          <w:sz w:val="19"/>
          <w:szCs w:val="19"/>
        </w:rPr>
        <w:br/>
        <w:t>5.故障设置、排除思路和方法实训。</w:t>
      </w:r>
      <w:r w:rsidRPr="000B13C6">
        <w:rPr>
          <w:rFonts w:ascii="宋体" w:eastAsia="宋体" w:hAnsi="宋体" w:cs="宋体"/>
          <w:color w:val="000000"/>
          <w:kern w:val="0"/>
          <w:sz w:val="19"/>
          <w:szCs w:val="19"/>
        </w:rPr>
        <w:br/>
        <w:t>6.直流充电桩装配检验实训。</w:t>
      </w:r>
      <w:r w:rsidRPr="000B13C6">
        <w:rPr>
          <w:rFonts w:ascii="宋体" w:eastAsia="宋体" w:hAnsi="宋体" w:cs="宋体"/>
          <w:color w:val="000000"/>
          <w:kern w:val="0"/>
          <w:sz w:val="19"/>
          <w:szCs w:val="19"/>
        </w:rPr>
        <w:br/>
        <w:t>六．基本配置(每台)</w:t>
      </w:r>
    </w:p>
    <w:tbl>
      <w:tblPr>
        <w:tblW w:w="9251"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048"/>
        <w:gridCol w:w="1958"/>
        <w:gridCol w:w="4386"/>
        <w:gridCol w:w="982"/>
        <w:gridCol w:w="877"/>
      </w:tblGrid>
      <w:tr w:rsidR="000B13C6" w:rsidRPr="000B13C6" w:rsidTr="000B13C6">
        <w:trPr>
          <w:tblCellSpacing w:w="0" w:type="dxa"/>
        </w:trPr>
        <w:tc>
          <w:tcPr>
            <w:tcW w:w="1073"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序号</w:t>
            </w:r>
          </w:p>
        </w:tc>
        <w:tc>
          <w:tcPr>
            <w:tcW w:w="2011"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名称</w:t>
            </w:r>
          </w:p>
        </w:tc>
        <w:tc>
          <w:tcPr>
            <w:tcW w:w="4469"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规格型号</w:t>
            </w:r>
          </w:p>
        </w:tc>
        <w:tc>
          <w:tcPr>
            <w:tcW w:w="1005"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单位</w:t>
            </w:r>
          </w:p>
        </w:tc>
        <w:tc>
          <w:tcPr>
            <w:tcW w:w="897"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数量</w:t>
            </w:r>
          </w:p>
        </w:tc>
      </w:tr>
      <w:tr w:rsidR="000B13C6" w:rsidRPr="000B13C6" w:rsidTr="000B13C6">
        <w:trPr>
          <w:tblCellSpacing w:w="0" w:type="dxa"/>
        </w:trPr>
        <w:tc>
          <w:tcPr>
            <w:tcW w:w="1073"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1</w:t>
            </w:r>
          </w:p>
        </w:tc>
        <w:tc>
          <w:tcPr>
            <w:tcW w:w="2011"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检测控制面板</w:t>
            </w:r>
          </w:p>
        </w:tc>
        <w:tc>
          <w:tcPr>
            <w:tcW w:w="4469"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装有各种检测端子，彩色电路图和工作原理示意图</w:t>
            </w:r>
          </w:p>
        </w:tc>
        <w:tc>
          <w:tcPr>
            <w:tcW w:w="1005"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套</w:t>
            </w:r>
          </w:p>
        </w:tc>
        <w:tc>
          <w:tcPr>
            <w:tcW w:w="897"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1</w:t>
            </w:r>
          </w:p>
        </w:tc>
      </w:tr>
      <w:tr w:rsidR="000B13C6" w:rsidRPr="000B13C6" w:rsidTr="000B13C6">
        <w:trPr>
          <w:tblCellSpacing w:w="0" w:type="dxa"/>
        </w:trPr>
        <w:tc>
          <w:tcPr>
            <w:tcW w:w="1073"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2</w:t>
            </w:r>
          </w:p>
        </w:tc>
        <w:tc>
          <w:tcPr>
            <w:tcW w:w="2011"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直流充电桩组件</w:t>
            </w:r>
          </w:p>
        </w:tc>
        <w:tc>
          <w:tcPr>
            <w:tcW w:w="4469"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国标220V 32A,7KW</w:t>
            </w:r>
          </w:p>
        </w:tc>
        <w:tc>
          <w:tcPr>
            <w:tcW w:w="1005"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套</w:t>
            </w:r>
          </w:p>
        </w:tc>
        <w:tc>
          <w:tcPr>
            <w:tcW w:w="897"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1</w:t>
            </w:r>
          </w:p>
        </w:tc>
      </w:tr>
      <w:tr w:rsidR="000B13C6" w:rsidRPr="000B13C6" w:rsidTr="000B13C6">
        <w:trPr>
          <w:trHeight w:val="380"/>
          <w:tblCellSpacing w:w="0" w:type="dxa"/>
        </w:trPr>
        <w:tc>
          <w:tcPr>
            <w:tcW w:w="1073"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3</w:t>
            </w:r>
          </w:p>
        </w:tc>
        <w:tc>
          <w:tcPr>
            <w:tcW w:w="2011"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充电插座与充电枪</w:t>
            </w:r>
          </w:p>
        </w:tc>
        <w:tc>
          <w:tcPr>
            <w:tcW w:w="4469"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国标</w:t>
            </w:r>
          </w:p>
        </w:tc>
        <w:tc>
          <w:tcPr>
            <w:tcW w:w="1005"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套</w:t>
            </w:r>
          </w:p>
        </w:tc>
        <w:tc>
          <w:tcPr>
            <w:tcW w:w="897"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1</w:t>
            </w:r>
          </w:p>
        </w:tc>
      </w:tr>
      <w:tr w:rsidR="000B13C6" w:rsidRPr="000B13C6" w:rsidTr="000B13C6">
        <w:trPr>
          <w:tblCellSpacing w:w="0" w:type="dxa"/>
        </w:trPr>
        <w:tc>
          <w:tcPr>
            <w:tcW w:w="1073"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4</w:t>
            </w:r>
          </w:p>
        </w:tc>
        <w:tc>
          <w:tcPr>
            <w:tcW w:w="2011"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智能充电卡片</w:t>
            </w:r>
          </w:p>
        </w:tc>
        <w:tc>
          <w:tcPr>
            <w:tcW w:w="4469"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配套</w:t>
            </w:r>
          </w:p>
        </w:tc>
        <w:tc>
          <w:tcPr>
            <w:tcW w:w="1005"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套</w:t>
            </w:r>
          </w:p>
        </w:tc>
        <w:tc>
          <w:tcPr>
            <w:tcW w:w="897"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1</w:t>
            </w:r>
          </w:p>
        </w:tc>
      </w:tr>
      <w:tr w:rsidR="000B13C6" w:rsidRPr="000B13C6" w:rsidTr="000B13C6">
        <w:trPr>
          <w:tblCellSpacing w:w="0" w:type="dxa"/>
        </w:trPr>
        <w:tc>
          <w:tcPr>
            <w:tcW w:w="1073"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5</w:t>
            </w:r>
          </w:p>
        </w:tc>
        <w:tc>
          <w:tcPr>
            <w:tcW w:w="2011"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直流充电桩装配检验模块</w:t>
            </w:r>
          </w:p>
        </w:tc>
        <w:tc>
          <w:tcPr>
            <w:tcW w:w="4469"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国标</w:t>
            </w:r>
          </w:p>
        </w:tc>
        <w:tc>
          <w:tcPr>
            <w:tcW w:w="1005"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套</w:t>
            </w:r>
          </w:p>
        </w:tc>
        <w:tc>
          <w:tcPr>
            <w:tcW w:w="897"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1</w:t>
            </w:r>
          </w:p>
        </w:tc>
      </w:tr>
      <w:tr w:rsidR="000B13C6" w:rsidRPr="000B13C6" w:rsidTr="000B13C6">
        <w:trPr>
          <w:tblCellSpacing w:w="0" w:type="dxa"/>
        </w:trPr>
        <w:tc>
          <w:tcPr>
            <w:tcW w:w="1073"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6</w:t>
            </w:r>
          </w:p>
        </w:tc>
        <w:tc>
          <w:tcPr>
            <w:tcW w:w="2011"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模拟指示灯</w:t>
            </w:r>
          </w:p>
        </w:tc>
        <w:tc>
          <w:tcPr>
            <w:tcW w:w="4469"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配套</w:t>
            </w:r>
          </w:p>
        </w:tc>
        <w:tc>
          <w:tcPr>
            <w:tcW w:w="1005"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套</w:t>
            </w:r>
          </w:p>
        </w:tc>
        <w:tc>
          <w:tcPr>
            <w:tcW w:w="897"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1</w:t>
            </w:r>
          </w:p>
        </w:tc>
      </w:tr>
      <w:tr w:rsidR="000B13C6" w:rsidRPr="000B13C6" w:rsidTr="000B13C6">
        <w:trPr>
          <w:tblCellSpacing w:w="0" w:type="dxa"/>
        </w:trPr>
        <w:tc>
          <w:tcPr>
            <w:tcW w:w="1073"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7</w:t>
            </w:r>
          </w:p>
        </w:tc>
        <w:tc>
          <w:tcPr>
            <w:tcW w:w="2011"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操作开关</w:t>
            </w:r>
          </w:p>
        </w:tc>
        <w:tc>
          <w:tcPr>
            <w:tcW w:w="4469"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配套</w:t>
            </w:r>
          </w:p>
        </w:tc>
        <w:tc>
          <w:tcPr>
            <w:tcW w:w="1005"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套</w:t>
            </w:r>
          </w:p>
        </w:tc>
        <w:tc>
          <w:tcPr>
            <w:tcW w:w="897"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1</w:t>
            </w:r>
          </w:p>
        </w:tc>
      </w:tr>
      <w:tr w:rsidR="000B13C6" w:rsidRPr="000B13C6" w:rsidTr="000B13C6">
        <w:trPr>
          <w:tblCellSpacing w:w="0" w:type="dxa"/>
        </w:trPr>
        <w:tc>
          <w:tcPr>
            <w:tcW w:w="1073"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8</w:t>
            </w:r>
          </w:p>
        </w:tc>
        <w:tc>
          <w:tcPr>
            <w:tcW w:w="2011"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直流接触器</w:t>
            </w:r>
          </w:p>
        </w:tc>
        <w:tc>
          <w:tcPr>
            <w:tcW w:w="4469"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配套</w:t>
            </w:r>
          </w:p>
        </w:tc>
        <w:tc>
          <w:tcPr>
            <w:tcW w:w="1005"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套</w:t>
            </w:r>
          </w:p>
        </w:tc>
        <w:tc>
          <w:tcPr>
            <w:tcW w:w="897"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1</w:t>
            </w:r>
          </w:p>
        </w:tc>
      </w:tr>
      <w:tr w:rsidR="000B13C6" w:rsidRPr="000B13C6" w:rsidTr="000B13C6">
        <w:trPr>
          <w:tblCellSpacing w:w="0" w:type="dxa"/>
        </w:trPr>
        <w:tc>
          <w:tcPr>
            <w:tcW w:w="1073"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9</w:t>
            </w:r>
          </w:p>
        </w:tc>
        <w:tc>
          <w:tcPr>
            <w:tcW w:w="2011"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移动台架</w:t>
            </w:r>
          </w:p>
        </w:tc>
        <w:tc>
          <w:tcPr>
            <w:tcW w:w="4469"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1500×700×1700mm (带自锁脚轮装置)</w:t>
            </w:r>
          </w:p>
        </w:tc>
        <w:tc>
          <w:tcPr>
            <w:tcW w:w="1005"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台</w:t>
            </w:r>
          </w:p>
        </w:tc>
        <w:tc>
          <w:tcPr>
            <w:tcW w:w="897"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1</w:t>
            </w:r>
          </w:p>
        </w:tc>
      </w:tr>
      <w:tr w:rsidR="000B13C6" w:rsidRPr="000B13C6" w:rsidTr="000B13C6">
        <w:trPr>
          <w:tblCellSpacing w:w="0" w:type="dxa"/>
        </w:trPr>
        <w:tc>
          <w:tcPr>
            <w:tcW w:w="1073"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10</w:t>
            </w:r>
          </w:p>
        </w:tc>
        <w:tc>
          <w:tcPr>
            <w:tcW w:w="2011"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故障模拟与排除装置</w:t>
            </w:r>
          </w:p>
        </w:tc>
        <w:tc>
          <w:tcPr>
            <w:tcW w:w="4469"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配套</w:t>
            </w:r>
          </w:p>
        </w:tc>
        <w:tc>
          <w:tcPr>
            <w:tcW w:w="1005"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套</w:t>
            </w:r>
          </w:p>
        </w:tc>
        <w:tc>
          <w:tcPr>
            <w:tcW w:w="897"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1</w:t>
            </w:r>
          </w:p>
        </w:tc>
      </w:tr>
      <w:tr w:rsidR="000B13C6" w:rsidRPr="000B13C6" w:rsidTr="000B13C6">
        <w:trPr>
          <w:tblCellSpacing w:w="0" w:type="dxa"/>
        </w:trPr>
        <w:tc>
          <w:tcPr>
            <w:tcW w:w="1073"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11</w:t>
            </w:r>
          </w:p>
        </w:tc>
        <w:tc>
          <w:tcPr>
            <w:tcW w:w="2011"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配电箱盒</w:t>
            </w:r>
          </w:p>
        </w:tc>
        <w:tc>
          <w:tcPr>
            <w:tcW w:w="4469"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配套</w:t>
            </w:r>
          </w:p>
        </w:tc>
        <w:tc>
          <w:tcPr>
            <w:tcW w:w="1005"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套</w:t>
            </w:r>
          </w:p>
        </w:tc>
        <w:tc>
          <w:tcPr>
            <w:tcW w:w="897"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1</w:t>
            </w:r>
          </w:p>
        </w:tc>
      </w:tr>
      <w:tr w:rsidR="000B13C6" w:rsidRPr="000B13C6" w:rsidTr="000B13C6">
        <w:trPr>
          <w:tblCellSpacing w:w="0" w:type="dxa"/>
        </w:trPr>
        <w:tc>
          <w:tcPr>
            <w:tcW w:w="1073"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12</w:t>
            </w:r>
          </w:p>
        </w:tc>
        <w:tc>
          <w:tcPr>
            <w:tcW w:w="2011"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保修卡/合格证</w:t>
            </w:r>
          </w:p>
        </w:tc>
        <w:tc>
          <w:tcPr>
            <w:tcW w:w="4469"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配套</w:t>
            </w:r>
          </w:p>
        </w:tc>
        <w:tc>
          <w:tcPr>
            <w:tcW w:w="1005"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套</w:t>
            </w:r>
          </w:p>
        </w:tc>
        <w:tc>
          <w:tcPr>
            <w:tcW w:w="897"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1</w:t>
            </w:r>
          </w:p>
        </w:tc>
      </w:tr>
      <w:tr w:rsidR="000B13C6" w:rsidRPr="000B13C6" w:rsidTr="000B13C6">
        <w:trPr>
          <w:tblCellSpacing w:w="0" w:type="dxa"/>
        </w:trPr>
        <w:tc>
          <w:tcPr>
            <w:tcW w:w="1073"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13</w:t>
            </w:r>
          </w:p>
        </w:tc>
        <w:tc>
          <w:tcPr>
            <w:tcW w:w="2011"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教师手册</w:t>
            </w:r>
          </w:p>
        </w:tc>
        <w:tc>
          <w:tcPr>
            <w:tcW w:w="4469"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配套</w:t>
            </w:r>
          </w:p>
        </w:tc>
        <w:tc>
          <w:tcPr>
            <w:tcW w:w="1005"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套</w:t>
            </w:r>
          </w:p>
        </w:tc>
        <w:tc>
          <w:tcPr>
            <w:tcW w:w="897" w:type="dxa"/>
            <w:tcBorders>
              <w:top w:val="outset" w:sz="6" w:space="0" w:color="auto"/>
              <w:left w:val="outset" w:sz="6" w:space="0" w:color="auto"/>
              <w:bottom w:val="outset" w:sz="6" w:space="0" w:color="auto"/>
              <w:right w:val="outset" w:sz="6" w:space="0" w:color="auto"/>
            </w:tcBorders>
            <w:vAlign w:val="center"/>
            <w:hideMark/>
          </w:tcPr>
          <w:p w:rsidR="000B13C6" w:rsidRPr="000B13C6" w:rsidRDefault="000B13C6" w:rsidP="000B13C6">
            <w:pPr>
              <w:widowControl/>
              <w:jc w:val="left"/>
              <w:rPr>
                <w:rFonts w:ascii="宋体" w:eastAsia="宋体" w:hAnsi="宋体" w:cs="宋体"/>
                <w:kern w:val="0"/>
                <w:sz w:val="19"/>
                <w:szCs w:val="19"/>
              </w:rPr>
            </w:pPr>
            <w:r w:rsidRPr="000B13C6">
              <w:rPr>
                <w:rFonts w:ascii="宋体" w:eastAsia="宋体" w:hAnsi="宋体" w:cs="宋体"/>
                <w:kern w:val="0"/>
                <w:sz w:val="19"/>
                <w:szCs w:val="19"/>
              </w:rPr>
              <w:t>1</w:t>
            </w:r>
          </w:p>
        </w:tc>
      </w:tr>
    </w:tbl>
    <w:p w:rsidR="00FB6F4D" w:rsidRPr="000B13C6" w:rsidRDefault="00FB6F4D" w:rsidP="000B13C6"/>
    <w:sectPr w:rsidR="00FB6F4D" w:rsidRPr="000B13C6" w:rsidSect="00FB6F4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57B6" w:rsidRDefault="004157B6" w:rsidP="00B7780A">
      <w:r>
        <w:separator/>
      </w:r>
    </w:p>
  </w:endnote>
  <w:endnote w:type="continuationSeparator" w:id="1">
    <w:p w:rsidR="004157B6" w:rsidRDefault="004157B6" w:rsidP="00B778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57B6" w:rsidRDefault="004157B6" w:rsidP="00B7780A">
      <w:r>
        <w:separator/>
      </w:r>
    </w:p>
  </w:footnote>
  <w:footnote w:type="continuationSeparator" w:id="1">
    <w:p w:rsidR="004157B6" w:rsidRDefault="004157B6" w:rsidP="00B7780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7780A"/>
    <w:rsid w:val="000B13C6"/>
    <w:rsid w:val="002D5F69"/>
    <w:rsid w:val="004157B6"/>
    <w:rsid w:val="00B7780A"/>
    <w:rsid w:val="00E30727"/>
    <w:rsid w:val="00FB6F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6F4D"/>
    <w:pPr>
      <w:widowControl w:val="0"/>
      <w:jc w:val="both"/>
    </w:pPr>
  </w:style>
  <w:style w:type="paragraph" w:styleId="1">
    <w:name w:val="heading 1"/>
    <w:basedOn w:val="a"/>
    <w:link w:val="1Char"/>
    <w:uiPriority w:val="9"/>
    <w:qFormat/>
    <w:rsid w:val="00B7780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778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7780A"/>
    <w:rPr>
      <w:sz w:val="18"/>
      <w:szCs w:val="18"/>
    </w:rPr>
  </w:style>
  <w:style w:type="paragraph" w:styleId="a4">
    <w:name w:val="footer"/>
    <w:basedOn w:val="a"/>
    <w:link w:val="Char0"/>
    <w:uiPriority w:val="99"/>
    <w:semiHidden/>
    <w:unhideWhenUsed/>
    <w:rsid w:val="00B7780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7780A"/>
    <w:rPr>
      <w:sz w:val="18"/>
      <w:szCs w:val="18"/>
    </w:rPr>
  </w:style>
  <w:style w:type="character" w:customStyle="1" w:styleId="1Char">
    <w:name w:val="标题 1 Char"/>
    <w:basedOn w:val="a0"/>
    <w:link w:val="1"/>
    <w:uiPriority w:val="9"/>
    <w:rsid w:val="00B7780A"/>
    <w:rPr>
      <w:rFonts w:ascii="宋体" w:eastAsia="宋体" w:hAnsi="宋体" w:cs="宋体"/>
      <w:b/>
      <w:bCs/>
      <w:kern w:val="36"/>
      <w:sz w:val="48"/>
      <w:szCs w:val="48"/>
    </w:rPr>
  </w:style>
  <w:style w:type="paragraph" w:styleId="a5">
    <w:name w:val="Normal (Web)"/>
    <w:basedOn w:val="a"/>
    <w:uiPriority w:val="99"/>
    <w:semiHidden/>
    <w:unhideWhenUsed/>
    <w:rsid w:val="00B7780A"/>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B7780A"/>
    <w:rPr>
      <w:sz w:val="18"/>
      <w:szCs w:val="18"/>
    </w:rPr>
  </w:style>
  <w:style w:type="character" w:customStyle="1" w:styleId="Char1">
    <w:name w:val="批注框文本 Char"/>
    <w:basedOn w:val="a0"/>
    <w:link w:val="a6"/>
    <w:uiPriority w:val="99"/>
    <w:semiHidden/>
    <w:rsid w:val="00B7780A"/>
    <w:rPr>
      <w:sz w:val="18"/>
      <w:szCs w:val="18"/>
    </w:rPr>
  </w:style>
</w:styles>
</file>

<file path=word/webSettings.xml><?xml version="1.0" encoding="utf-8"?>
<w:webSettings xmlns:r="http://schemas.openxmlformats.org/officeDocument/2006/relationships" xmlns:w="http://schemas.openxmlformats.org/wordprocessingml/2006/main">
  <w:divs>
    <w:div w:id="1999918988">
      <w:bodyDiv w:val="1"/>
      <w:marLeft w:val="0"/>
      <w:marRight w:val="0"/>
      <w:marTop w:val="0"/>
      <w:marBottom w:val="0"/>
      <w:divBdr>
        <w:top w:val="none" w:sz="0" w:space="0" w:color="auto"/>
        <w:left w:val="none" w:sz="0" w:space="0" w:color="auto"/>
        <w:bottom w:val="none" w:sz="0" w:space="0" w:color="auto"/>
        <w:right w:val="none" w:sz="0" w:space="0" w:color="auto"/>
      </w:divBdr>
      <w:divsChild>
        <w:div w:id="828251905">
          <w:marLeft w:val="0"/>
          <w:marRight w:val="0"/>
          <w:marTop w:val="0"/>
          <w:marBottom w:val="0"/>
          <w:divBdr>
            <w:top w:val="none" w:sz="0" w:space="0" w:color="auto"/>
            <w:left w:val="none" w:sz="0" w:space="0" w:color="auto"/>
            <w:bottom w:val="none" w:sz="0" w:space="0" w:color="auto"/>
            <w:right w:val="none" w:sz="0" w:space="0" w:color="auto"/>
          </w:divBdr>
          <w:divsChild>
            <w:div w:id="76632121">
              <w:marLeft w:val="0"/>
              <w:marRight w:val="0"/>
              <w:marTop w:val="0"/>
              <w:marBottom w:val="0"/>
              <w:divBdr>
                <w:top w:val="none" w:sz="0" w:space="0" w:color="auto"/>
                <w:left w:val="none" w:sz="0" w:space="0" w:color="auto"/>
                <w:bottom w:val="none" w:sz="0" w:space="0" w:color="auto"/>
                <w:right w:val="none" w:sz="0" w:space="0" w:color="auto"/>
              </w:divBdr>
              <w:divsChild>
                <w:div w:id="48965268">
                  <w:marLeft w:val="272"/>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 w:id="2115397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351</Words>
  <Characters>2007</Characters>
  <Application>Microsoft Office Word</Application>
  <DocSecurity>0</DocSecurity>
  <Lines>16</Lines>
  <Paragraphs>4</Paragraphs>
  <ScaleCrop>false</ScaleCrop>
  <Company>Microsoft</Company>
  <LinksUpToDate>false</LinksUpToDate>
  <CharactersWithSpaces>2354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张忠良</cp:lastModifiedBy>
  <cp:revision>4</cp:revision>
  <dcterms:created xsi:type="dcterms:W3CDTF">2017-12-07T08:28:00Z</dcterms:created>
  <dcterms:modified xsi:type="dcterms:W3CDTF">2019-11-22T02:49:00Z</dcterms:modified>
</cp:coreProperties>
</file>