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40BFED">
      <w:pPr>
        <w:pStyle w:val="167"/>
        <w:rPr>
          <w:lang w:eastAsia="zh-CN"/>
        </w:rPr>
      </w:pPr>
      <w:bookmarkStart w:id="0" w:name="_Toc517262917"/>
      <w:bookmarkStart w:id="1" w:name="_Toc453597319"/>
      <w:bookmarkStart w:id="2" w:name="OLE_LINK15"/>
      <w:bookmarkStart w:id="3" w:name="_Toc418070112"/>
      <w:bookmarkStart w:id="4" w:name="_Toc415143481"/>
      <w:bookmarkStart w:id="5" w:name="_Toc481801204"/>
      <w:bookmarkStart w:id="6" w:name="OLE_LINK40"/>
      <w:bookmarkStart w:id="7" w:name="_Toc415818939"/>
      <w:bookmarkStart w:id="8" w:name="_Toc415142861"/>
      <w:bookmarkStart w:id="9" w:name="_Toc438987549"/>
      <w:bookmarkStart w:id="10" w:name="OLE_LINK13"/>
      <w:bookmarkStart w:id="11" w:name="OLE_LINK39"/>
      <w:bookmarkStart w:id="12" w:name="OLE_LINK24"/>
      <w:r>
        <w:rPr>
          <w:lang w:eastAsia="zh-CN"/>
        </w:rPr>
        <w:t xml:space="preserve">潜水艇用声呐 </w:t>
      </w:r>
      <w:r>
        <w:rPr>
          <w:rFonts w:hint="eastAsia"/>
          <w:lang w:eastAsia="zh-CN"/>
        </w:rPr>
        <w:t>市场调研报告</w:t>
      </w:r>
    </w:p>
    <w:p w14:paraId="275F163E">
      <w:pPr>
        <w:pStyle w:val="145"/>
        <w:rPr>
          <w:lang w:eastAsia="zh-CN"/>
        </w:rPr>
      </w:pPr>
      <w:r>
        <w:rPr>
          <w:rFonts w:hint="eastAsia"/>
          <w:lang w:eastAsia="zh-CN"/>
        </w:rPr>
        <w:t>潜艇声呐是水下作战的核心感知系统，主要分为主动声呐和被动声呐两大类。主动声呐通过发射高频脉冲并接收回波，实现目标的距离、方位和速度测量；被动声呐则利用阵列水听器捕获潜艇、鱼雷等发出的声波，实现隐蔽探测。现代潜艇常采用船体安装（</w:t>
      </w:r>
      <w:r>
        <w:rPr>
          <w:lang w:eastAsia="zh-CN"/>
        </w:rPr>
        <w:t>Hull‑Mounted</w:t>
      </w:r>
      <w:r>
        <w:rPr>
          <w:rFonts w:hint="eastAsia"/>
          <w:lang w:eastAsia="zh-CN"/>
        </w:rPr>
        <w:t>）阵列、侧舷阵列（</w:t>
      </w:r>
      <w:r>
        <w:rPr>
          <w:lang w:eastAsia="zh-CN"/>
        </w:rPr>
        <w:t>Flank Array</w:t>
      </w:r>
      <w:r>
        <w:rPr>
          <w:rFonts w:hint="eastAsia"/>
          <w:lang w:eastAsia="zh-CN"/>
        </w:rPr>
        <w:t>）以及拖曳阵列（</w:t>
      </w:r>
      <w:r>
        <w:rPr>
          <w:lang w:eastAsia="zh-CN"/>
        </w:rPr>
        <w:t>Towed Array</w:t>
      </w:r>
      <w:r>
        <w:rPr>
          <w:rFonts w:hint="eastAsia"/>
          <w:lang w:eastAsia="zh-CN"/>
        </w:rPr>
        <w:t>）等多种布局，以实现全方位、长距离的探测能力。</w:t>
      </w:r>
    </w:p>
    <w:p w14:paraId="04840851">
      <w:pPr>
        <w:pStyle w:val="145"/>
        <w:rPr>
          <w:rFonts w:hint="eastAsia"/>
          <w:lang w:eastAsia="zh-CN"/>
        </w:rPr>
      </w:pPr>
      <w:r>
        <w:rPr>
          <w:rFonts w:hint="eastAsia"/>
          <w:lang w:eastAsia="zh-CN"/>
        </w:rPr>
        <w:t>低频主动声纳 (LFAS)、合成孔径声纳和人工智能信号处理等声纳技术的持续创新正在推动市场增长。这些进步增强了探测范围、目标分类和隐身能力，使现代潜艇在复杂的海洋环境中更加高效。</w:t>
      </w:r>
    </w:p>
    <w:p w14:paraId="1AF17867">
      <w:pPr>
        <w:pStyle w:val="145"/>
        <w:rPr>
          <w:rFonts w:hint="eastAsia"/>
          <w:lang w:eastAsia="zh-CN"/>
        </w:rPr>
      </w:pPr>
      <w:r>
        <w:rPr>
          <w:rFonts w:hint="eastAsia"/>
          <w:lang w:eastAsia="zh-CN"/>
        </w:rPr>
        <w:t>地缘政治紧张局势加剧以及各国海军现代化计划的推进，正在推动对潜艇舰队和声纳系统的投资。国防预算的增加，尤其是在亚太地区和北美地区，为声纳制造商提供先进解决方案创造了巨大的机遇。</w:t>
      </w:r>
    </w:p>
    <w:p w14:paraId="57E5E007">
      <w:pPr>
        <w:pStyle w:val="145"/>
        <w:rPr>
          <w:rFonts w:hint="eastAsia"/>
          <w:lang w:eastAsia="zh-CN"/>
        </w:rPr>
      </w:pPr>
      <w:r>
        <w:rPr>
          <w:rFonts w:hint="eastAsia"/>
          <w:lang w:eastAsia="zh-CN"/>
        </w:rPr>
        <w:t>据QYResearch调研团队最新报告“全球潜水艇用声呐市场报告2025-2031”显示，预计2031年全球潜水艇用声呐市场规模将达到22.3亿美元，未来几年年复合增长率CAGR为5.4%。</w:t>
      </w:r>
    </w:p>
    <w:p w14:paraId="3F6C2722">
      <w:pPr>
        <w:pStyle w:val="148"/>
        <w:rPr>
          <w:lang w:eastAsia="zh-CN"/>
        </w:rPr>
      </w:pPr>
      <w:r>
        <w:rPr>
          <w:lang w:eastAsia="zh-CN"/>
        </w:rPr>
        <w:t>潜水艇用声呐</w:t>
      </w:r>
      <w:r>
        <w:rPr>
          <w:rFonts w:hint="eastAsia"/>
          <w:lang w:eastAsia="zh-CN"/>
        </w:rPr>
        <w:t>，全球市场总体规模</w:t>
      </w:r>
    </w:p>
    <w:p w14:paraId="33261207">
      <w:pPr>
        <w:pStyle w:val="145"/>
        <w:rPr>
          <w:b/>
          <w:lang w:eastAsia="zh-CN"/>
        </w:rPr>
      </w:pPr>
      <w:r>
        <w:drawing>
          <wp:inline distT="0" distB="0" distL="114300" distR="114300">
            <wp:extent cx="6184900" cy="3400425"/>
            <wp:effectExtent l="0" t="0" r="6350" b="952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9"/>
                    <a:stretch>
                      <a:fillRect/>
                    </a:stretch>
                  </pic:blipFill>
                  <pic:spPr>
                    <a:xfrm>
                      <a:off x="0" y="0"/>
                      <a:ext cx="6184900" cy="3400425"/>
                    </a:xfrm>
                    <a:prstGeom prst="rect">
                      <a:avLst/>
                    </a:prstGeom>
                    <a:noFill/>
                    <a:ln>
                      <a:noFill/>
                    </a:ln>
                  </pic:spPr>
                </pic:pic>
              </a:graphicData>
            </a:graphic>
          </wp:inline>
        </w:drawing>
      </w:r>
    </w:p>
    <w:p w14:paraId="12FD9BEF">
      <w:pPr>
        <w:pStyle w:val="143"/>
        <w:rPr>
          <w:lang w:eastAsia="zh-CN"/>
        </w:rPr>
      </w:pPr>
      <w:r>
        <w:rPr>
          <w:rFonts w:hint="eastAsia"/>
          <w:lang w:eastAsia="zh-CN"/>
        </w:rPr>
        <w:t>来源：QYResearch 机械及设备研究中心</w:t>
      </w:r>
    </w:p>
    <w:p w14:paraId="720E31E2">
      <w:pPr>
        <w:pStyle w:val="148"/>
        <w:rPr>
          <w:lang w:eastAsia="zh-CN"/>
        </w:rPr>
      </w:pPr>
      <w:r>
        <w:rPr>
          <w:rFonts w:hint="eastAsia"/>
          <w:lang w:eastAsia="zh-CN"/>
        </w:rPr>
        <w:t>全球</w:t>
      </w:r>
      <w:r>
        <w:rPr>
          <w:lang w:eastAsia="zh-CN"/>
        </w:rPr>
        <w:t>潜水艇用声呐</w:t>
      </w:r>
      <w:r>
        <w:rPr>
          <w:rFonts w:hint="eastAsia"/>
          <w:lang w:eastAsia="zh-CN"/>
        </w:rPr>
        <w:t>市场前</w:t>
      </w:r>
      <w:r>
        <w:rPr>
          <w:lang w:eastAsia="zh-CN"/>
        </w:rPr>
        <w:t>13</w:t>
      </w:r>
      <w:r>
        <w:rPr>
          <w:rFonts w:hint="eastAsia"/>
          <w:lang w:eastAsia="zh-CN"/>
        </w:rPr>
        <w:t>强生产商排名及市场占有率（基于2024年调研数据；目前最新数据以本公司最新调研数据为准）</w:t>
      </w:r>
    </w:p>
    <w:p w14:paraId="773AFA33">
      <w:pPr>
        <w:widowControl/>
        <w:topLinePunct w:val="0"/>
        <w:spacing w:after="0"/>
        <w:jc w:val="center"/>
        <w:rPr>
          <w:rFonts w:ascii="宋体" w:hAnsi="宋体" w:cs="宋体"/>
          <w:kern w:val="0"/>
          <w:sz w:val="24"/>
          <w:szCs w:val="24"/>
        </w:rPr>
      </w:pPr>
      <w:r>
        <w:drawing>
          <wp:inline distT="0" distB="0" distL="0" distR="0">
            <wp:extent cx="3771900" cy="5991225"/>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4A43543">
      <w:pPr>
        <w:pStyle w:val="143"/>
        <w:rPr>
          <w:lang w:eastAsia="zh-CN"/>
        </w:rPr>
      </w:pPr>
      <w:r>
        <w:rPr>
          <w:rFonts w:hint="eastAsia"/>
          <w:lang w:eastAsia="zh-CN"/>
        </w:rPr>
        <w:t>来源：QYResearch 机械及设备研究中心。行业处于不断变动之中，最新数据请联系QYResearch咨询。</w:t>
      </w:r>
    </w:p>
    <w:p w14:paraId="3B9C227F">
      <w:pPr>
        <w:widowControl/>
        <w:topLinePunct w:val="0"/>
        <w:spacing w:after="0"/>
        <w:rPr>
          <w:rFonts w:hint="eastAsia" w:ascii="Times New Roman" w:hAnsi="Times New Roman" w:cs="Times New Roman"/>
          <w:kern w:val="0"/>
          <w:sz w:val="22"/>
          <w:szCs w:val="22"/>
        </w:rPr>
      </w:pPr>
      <w:r>
        <w:rPr>
          <w:rFonts w:ascii="Times New Roman" w:hAnsi="Times New Roman" w:cs="Times New Roman"/>
          <w:kern w:val="0"/>
          <w:sz w:val="22"/>
          <w:szCs w:val="22"/>
        </w:rPr>
        <w:t>根据QYResearch头部企业研究中心调研，全球范围内潜水艇用声呐生产商主要包括洛克希德·马丁、泰雷兹、L3Harris Technologies、通用动力、诺斯洛普·格鲁曼、李奥纳多、Kongsberg、Ultra Maritime、蒂森克虏伯、Cohort plc等。2024年，全球前五大厂商占有大约63.0%的市场份额。</w:t>
      </w:r>
    </w:p>
    <w:p w14:paraId="3E6DE9A8">
      <w:pPr>
        <w:pStyle w:val="148"/>
        <w:rPr>
          <w:lang w:eastAsia="zh-CN"/>
        </w:rPr>
      </w:pPr>
      <w:r>
        <w:rPr>
          <w:lang w:eastAsia="zh-CN"/>
        </w:rPr>
        <w:t>潜水艇用声呐</w:t>
      </w:r>
      <w:r>
        <w:rPr>
          <w:rFonts w:hint="eastAsia"/>
          <w:lang w:eastAsia="zh-CN"/>
        </w:rPr>
        <w:t>，全球市场规模，按产品类型细分，</w:t>
      </w:r>
      <w:r>
        <w:rPr>
          <w:rFonts w:ascii="Book Antiqua" w:hAnsi="Book Antiqua" w:cs="宋体"/>
          <w:sz w:val="22"/>
          <w:lang w:eastAsia="zh-CN"/>
        </w:rPr>
        <w:t>主动型</w:t>
      </w:r>
      <w:r>
        <w:rPr>
          <w:rFonts w:hint="eastAsia"/>
          <w:lang w:eastAsia="zh-CN"/>
        </w:rPr>
        <w:t>处于主导地位</w:t>
      </w:r>
    </w:p>
    <w:p w14:paraId="1DAC1641">
      <w:pPr>
        <w:pStyle w:val="145"/>
        <w:rPr>
          <w:lang w:val="en-US" w:eastAsia="zh-CN"/>
        </w:rPr>
      </w:pPr>
      <w:r>
        <w:drawing>
          <wp:inline distT="0" distB="0" distL="0" distR="0">
            <wp:extent cx="6188710" cy="2922270"/>
            <wp:effectExtent l="0" t="0" r="254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9AE0722">
      <w:pPr>
        <w:pStyle w:val="143"/>
        <w:rPr>
          <w:lang w:eastAsia="zh-CN"/>
        </w:rPr>
      </w:pPr>
      <w:r>
        <w:rPr>
          <w:rFonts w:hint="eastAsia"/>
          <w:lang w:eastAsia="zh-CN"/>
        </w:rPr>
        <w:t>来源：QYResearch机械及设备研究中心</w:t>
      </w:r>
    </w:p>
    <w:p w14:paraId="446D98A1">
      <w:pPr>
        <w:widowControl/>
        <w:topLinePunct w:val="0"/>
        <w:spacing w:after="0"/>
        <w:jc w:val="left"/>
        <w:rPr>
          <w:rFonts w:ascii="Book Antiqua" w:hAnsi="Book Antiqua" w:cs="宋体"/>
          <w:kern w:val="0"/>
          <w:sz w:val="22"/>
          <w:szCs w:val="22"/>
        </w:rPr>
      </w:pPr>
      <w:r>
        <w:rPr>
          <w:rFonts w:ascii="Book Antiqua" w:hAnsi="Book Antiqua" w:cs="宋体"/>
          <w:kern w:val="0"/>
          <w:sz w:val="22"/>
          <w:szCs w:val="22"/>
        </w:rPr>
        <w:t>就产品类型而言，目前主动型是最主要的细分产品，占据大约50.5%的份额。</w:t>
      </w:r>
    </w:p>
    <w:p w14:paraId="0B069045">
      <w:pPr>
        <w:pStyle w:val="148"/>
        <w:rPr>
          <w:lang w:eastAsia="zh-CN"/>
        </w:rPr>
      </w:pPr>
      <w:r>
        <w:rPr>
          <w:lang w:eastAsia="zh-CN"/>
        </w:rPr>
        <w:t>潜水艇用声呐</w:t>
      </w:r>
      <w:r>
        <w:rPr>
          <w:rFonts w:hint="eastAsia"/>
          <w:lang w:eastAsia="zh-CN"/>
        </w:rPr>
        <w:t>，全球市场规模，按应用细分，</w:t>
      </w:r>
      <w:r>
        <w:rPr>
          <w:rFonts w:ascii="Book Antiqua" w:hAnsi="Book Antiqua" w:cs="宋体"/>
          <w:sz w:val="22"/>
          <w:lang w:eastAsia="zh-CN"/>
        </w:rPr>
        <w:t>排水量200吨以下潜艇</w:t>
      </w:r>
      <w:r>
        <w:rPr>
          <w:rFonts w:hint="eastAsia"/>
          <w:lang w:eastAsia="zh-CN"/>
        </w:rPr>
        <w:t>是最大的下游市场，占有</w:t>
      </w:r>
      <w:r>
        <w:rPr>
          <w:rFonts w:ascii="Book Antiqua" w:hAnsi="Book Antiqua" w:cs="宋体"/>
          <w:sz w:val="22"/>
          <w:lang w:eastAsia="zh-CN"/>
        </w:rPr>
        <w:t>14.0%</w:t>
      </w:r>
      <w:r>
        <w:rPr>
          <w:rFonts w:hint="eastAsia"/>
          <w:lang w:eastAsia="zh-CN"/>
        </w:rPr>
        <w:t>份额。</w:t>
      </w:r>
    </w:p>
    <w:p w14:paraId="1F9213C6">
      <w:pPr>
        <w:widowControl/>
        <w:topLinePunct w:val="0"/>
        <w:spacing w:after="0"/>
        <w:jc w:val="left"/>
        <w:rPr>
          <w:rFonts w:ascii="宋体" w:hAnsi="宋体" w:cs="宋体"/>
          <w:kern w:val="0"/>
          <w:sz w:val="24"/>
          <w:szCs w:val="24"/>
        </w:rPr>
      </w:pPr>
      <w:r>
        <w:drawing>
          <wp:inline distT="0" distB="0" distL="0" distR="0">
            <wp:extent cx="6188710" cy="2922270"/>
            <wp:effectExtent l="0" t="0" r="254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753BDFC">
      <w:pPr>
        <w:pStyle w:val="143"/>
        <w:rPr>
          <w:lang w:eastAsia="zh-CN"/>
        </w:rPr>
      </w:pPr>
      <w:r>
        <w:rPr>
          <w:rFonts w:hint="eastAsia"/>
          <w:lang w:eastAsia="zh-CN"/>
        </w:rPr>
        <w:t>来源：QYResearch机械及设备研究中心</w:t>
      </w:r>
    </w:p>
    <w:p w14:paraId="5315F7D2">
      <w:pPr>
        <w:widowControl/>
        <w:topLinePunct w:val="0"/>
        <w:spacing w:after="0"/>
        <w:jc w:val="left"/>
        <w:rPr>
          <w:rFonts w:hint="eastAsia" w:ascii="Book Antiqua" w:hAnsi="Book Antiqua" w:cs="宋体"/>
          <w:kern w:val="0"/>
          <w:sz w:val="22"/>
          <w:szCs w:val="22"/>
        </w:rPr>
      </w:pPr>
      <w:r>
        <w:rPr>
          <w:rFonts w:ascii="Book Antiqua" w:hAnsi="Book Antiqua" w:cs="宋体"/>
          <w:kern w:val="0"/>
          <w:sz w:val="22"/>
          <w:szCs w:val="22"/>
        </w:rPr>
        <w:t>就产品应用而言，目前排水量200吨以下潜艇是最主要的需求来源，占据大约14.0%的份额。</w:t>
      </w:r>
    </w:p>
    <w:p w14:paraId="0CD10F4E">
      <w:pPr>
        <w:pStyle w:val="148"/>
        <w:rPr>
          <w:lang w:eastAsia="zh-CN"/>
        </w:rPr>
      </w:pPr>
      <w:r>
        <w:rPr>
          <w:rFonts w:hint="eastAsia"/>
          <w:lang w:eastAsia="zh-CN"/>
        </w:rPr>
        <w:t>全球主要市场</w:t>
      </w:r>
      <w:r>
        <w:rPr>
          <w:lang w:eastAsia="zh-CN"/>
        </w:rPr>
        <w:t>潜水艇用声呐</w:t>
      </w:r>
      <w:r>
        <w:rPr>
          <w:rFonts w:hint="eastAsia"/>
          <w:lang w:eastAsia="zh-CN"/>
        </w:rPr>
        <w:t>规模</w:t>
      </w:r>
    </w:p>
    <w:p w14:paraId="4B44D8E9">
      <w:pPr>
        <w:pStyle w:val="145"/>
        <w:rPr>
          <w:lang w:val="en-US" w:eastAsia="zh-CN"/>
        </w:rPr>
      </w:pPr>
      <w:r>
        <w:drawing>
          <wp:inline distT="0" distB="0" distL="0" distR="0">
            <wp:extent cx="6188710" cy="2922270"/>
            <wp:effectExtent l="0" t="0" r="254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81886DC">
      <w:pPr>
        <w:pStyle w:val="143"/>
        <w:rPr>
          <w:rFonts w:hint="eastAsia"/>
          <w:lang w:eastAsia="zh-CN"/>
        </w:rPr>
      </w:pPr>
      <w:r>
        <w:rPr>
          <w:rFonts w:hint="eastAsia"/>
          <w:lang w:eastAsia="zh-CN"/>
        </w:rPr>
        <w:t>来源：QYResearch机械及设备研究中心</w:t>
      </w:r>
    </w:p>
    <w:p w14:paraId="5781B5BC">
      <w:pPr>
        <w:pStyle w:val="143"/>
        <w:rPr>
          <w:rFonts w:hint="eastAsia"/>
          <w:lang w:eastAsia="zh-CN"/>
        </w:rPr>
      </w:pPr>
    </w:p>
    <w:p w14:paraId="07A95001">
      <w:pPr>
        <w:pStyle w:val="145"/>
        <w:rPr>
          <w:rFonts w:hint="eastAsia"/>
          <w:lang w:eastAsia="zh-CN"/>
        </w:rPr>
      </w:pPr>
      <w:r>
        <w:rPr>
          <w:rFonts w:hint="eastAsia"/>
          <w:lang w:eastAsia="zh-CN"/>
        </w:rPr>
        <w:t>希望以上信息能为您提供有价值的参考。如果您想获取行业市场更详细分析，建议直接查阅相关的完整版行业报告。在市场调查报告方面，QYResearch研究团队深入挖掘市场数据，通过科学的方法和严谨的分析，为客户提供准确、全面的市场现状和趋势信息，帮助企业了解目标市场的规模、增长潜力、竞争格局等关键要素。市场研究报告则更加注重对特定行业或细分市场的深度剖析，从宏观经济环境、政策法规、技术创新等多个维度进行综合分析，为企业制定发展战略提供有力支持。</w:t>
      </w:r>
      <w:bookmarkEnd w:id="0"/>
      <w:bookmarkEnd w:id="1"/>
      <w:bookmarkEnd w:id="2"/>
      <w:bookmarkEnd w:id="3"/>
      <w:bookmarkEnd w:id="4"/>
      <w:bookmarkEnd w:id="5"/>
      <w:bookmarkEnd w:id="6"/>
      <w:bookmarkEnd w:id="7"/>
      <w:bookmarkEnd w:id="8"/>
      <w:bookmarkEnd w:id="9"/>
      <w:bookmarkEnd w:id="10"/>
      <w:bookmarkEnd w:id="11"/>
      <w:bookmarkEnd w:id="12"/>
      <w:bookmarkStart w:id="13" w:name="_GoBack"/>
      <w:bookmarkEnd w:id="13"/>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6A"/>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902"/>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0B4"/>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9BB"/>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01"/>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BF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0A3"/>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12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27"/>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8E7"/>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21F"/>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360"/>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964"/>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0F3"/>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49F"/>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DAF"/>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7D7"/>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63A43E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hzbz\Desktop\&#23459;&#20256;&#26448;&#26009;%20&#27169;&#26495;Word%2020240903\&#35266;&#28857;&#25968;&#25454;&#22270;&#34920;&#27169;&#26495;-&#27169;&#26495;%2020240426%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hzbz\Desktop\&#23459;&#20256;&#26448;&#26009;%20&#27169;&#26495;Word%2020240903\&#35266;&#28857;&#25968;&#25454;&#22270;&#34920;&#27169;&#26495;-&#27169;&#26495;%2020240426%20&#20026;&#20934;.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zbz\Desktop\&#23459;&#20256;&#26448;&#26009;%20&#27169;&#26495;Word%2020240903\&#35266;&#28857;&#25968;&#25454;&#22270;&#34920;&#27169;&#26495;-&#27169;&#26495;%2020240426%20&#20026;&#20934;.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hzbz\Desktop\&#23459;&#20256;&#26448;&#26009;%20&#27169;&#26495;Word%2020240903\&#35266;&#28857;&#25968;&#25454;&#22270;&#34920;&#27169;&#26495;-&#27169;&#26495;%2020240426%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2024</c:v>
                </c:pt>
              </c:strCache>
            </c:strRef>
          </c:tx>
          <c:spPr>
            <a:solidFill>
              <a:srgbClr val="002060"/>
            </a:solidFill>
          </c:spPr>
          <c:invertIfNegative val="0"/>
          <c:dPt>
            <c:idx val="0"/>
            <c:invertIfNegative val="0"/>
            <c:bubble3D val="0"/>
            <c:spPr>
              <a:solidFill>
                <a:srgbClr val="002060"/>
              </a:solidFill>
              <a:ln>
                <a:noFill/>
              </a:ln>
              <a:effectLst/>
            </c:spPr>
          </c:dPt>
          <c:dPt>
            <c:idx val="1"/>
            <c:invertIfNegative val="0"/>
            <c:bubble3D val="0"/>
            <c:spPr>
              <a:solidFill>
                <a:srgbClr val="002060"/>
              </a:solidFill>
              <a:ln>
                <a:noFill/>
              </a:ln>
              <a:effectLst/>
            </c:spPr>
          </c:dPt>
          <c:dPt>
            <c:idx val="2"/>
            <c:invertIfNegative val="0"/>
            <c:bubble3D val="0"/>
            <c:spPr>
              <a:solidFill>
                <a:srgbClr val="002060"/>
              </a:solidFill>
              <a:ln>
                <a:noFill/>
              </a:ln>
              <a:effectLst/>
            </c:spPr>
          </c:dPt>
          <c:dPt>
            <c:idx val="3"/>
            <c:invertIfNegative val="0"/>
            <c:bubble3D val="0"/>
            <c:spPr>
              <a:solidFill>
                <a:srgbClr val="002060"/>
              </a:solidFill>
              <a:ln>
                <a:noFill/>
              </a:ln>
              <a:effectLst/>
            </c:spPr>
          </c:dPt>
          <c:dPt>
            <c:idx val="4"/>
            <c:invertIfNegative val="0"/>
            <c:bubble3D val="0"/>
            <c:spPr>
              <a:solidFill>
                <a:srgbClr val="002060"/>
              </a:solidFill>
              <a:ln>
                <a:noFill/>
              </a:ln>
              <a:effectLst/>
            </c:spPr>
          </c:dPt>
          <c:dPt>
            <c:idx val="5"/>
            <c:invertIfNegative val="0"/>
            <c:bubble3D val="0"/>
            <c:spPr>
              <a:solidFill>
                <a:srgbClr val="002060"/>
              </a:solidFill>
              <a:ln>
                <a:noFill/>
              </a:ln>
              <a:effectLst/>
            </c:spPr>
          </c:dPt>
          <c:dPt>
            <c:idx val="6"/>
            <c:invertIfNegative val="0"/>
            <c:bubble3D val="0"/>
            <c:spPr>
              <a:solidFill>
                <a:srgbClr val="002060"/>
              </a:solidFill>
              <a:ln>
                <a:noFill/>
              </a:ln>
              <a:effectLst/>
            </c:spPr>
          </c:dPt>
          <c:dPt>
            <c:idx val="7"/>
            <c:invertIfNegative val="0"/>
            <c:bubble3D val="0"/>
            <c:spPr>
              <a:solidFill>
                <a:srgbClr val="002060"/>
              </a:solidFill>
              <a:ln>
                <a:noFill/>
              </a:ln>
              <a:effectLst/>
            </c:spPr>
          </c:dPt>
          <c:dPt>
            <c:idx val="8"/>
            <c:invertIfNegative val="0"/>
            <c:bubble3D val="0"/>
            <c:spPr>
              <a:solidFill>
                <a:srgbClr val="002060"/>
              </a:solidFill>
              <a:ln>
                <a:noFill/>
              </a:ln>
              <a:effectLst/>
            </c:spPr>
          </c:dPt>
          <c:dPt>
            <c:idx val="9"/>
            <c:invertIfNegative val="0"/>
            <c:bubble3D val="0"/>
            <c:spPr>
              <a:solidFill>
                <a:srgbClr val="002060"/>
              </a:solidFill>
              <a:ln>
                <a:noFill/>
              </a:ln>
              <a:effectLst/>
            </c:spPr>
          </c:dPt>
          <c:dPt>
            <c:idx val="10"/>
            <c:invertIfNegative val="0"/>
            <c:bubble3D val="0"/>
            <c:spPr>
              <a:solidFill>
                <a:srgbClr val="002060"/>
              </a:solidFill>
              <a:ln>
                <a:noFill/>
              </a:ln>
              <a:effectLst/>
            </c:spPr>
          </c:dPt>
          <c:dPt>
            <c:idx val="11"/>
            <c:invertIfNegative val="0"/>
            <c:bubble3D val="0"/>
            <c:spPr>
              <a:solidFill>
                <a:srgbClr val="002060"/>
              </a:solidFill>
              <a:ln>
                <a:noFill/>
              </a:ln>
              <a:effectLst/>
            </c:spPr>
          </c:dPt>
          <c:dPt>
            <c:idx val="12"/>
            <c:invertIfNegative val="0"/>
            <c:bubble3D val="0"/>
            <c:spPr>
              <a:solidFill>
                <a:srgbClr val="002060"/>
              </a:solidFill>
              <a:ln>
                <a:noFill/>
              </a:ln>
              <a:effectLst/>
            </c:spPr>
          </c:dPt>
          <c:dLbls>
            <c:delete val="1"/>
          </c:dLbls>
          <c:cat>
            <c:strRef>
              <c:f>企业收入!$H$2:$H$21</c:f>
              <c:strCache>
                <c:ptCount val="13"/>
                <c:pt idx="0">
                  <c:v>洛克希德·马丁</c:v>
                </c:pt>
                <c:pt idx="1">
                  <c:v>泰雷兹</c:v>
                </c:pt>
                <c:pt idx="2">
                  <c:v>L3Harris Technologies</c:v>
                </c:pt>
                <c:pt idx="3">
                  <c:v>通用动力</c:v>
                </c:pt>
                <c:pt idx="4">
                  <c:v>诺斯洛普·格鲁曼</c:v>
                </c:pt>
                <c:pt idx="5">
                  <c:v>李奥纳多</c:v>
                </c:pt>
                <c:pt idx="6">
                  <c:v>Kongsberg</c:v>
                </c:pt>
                <c:pt idx="7">
                  <c:v>Ultra Maritime</c:v>
                </c:pt>
                <c:pt idx="8">
                  <c:v>蒂森克虏伯</c:v>
                </c:pt>
                <c:pt idx="9">
                  <c:v>Cohort plc</c:v>
                </c:pt>
                <c:pt idx="10">
                  <c:v>中国海防</c:v>
                </c:pt>
                <c:pt idx="11">
                  <c:v>DSIT Solutions (Rafael)</c:v>
                </c:pt>
                <c:pt idx="12">
                  <c:v>SAES</c:v>
                </c:pt>
              </c:strCache>
            </c:strRef>
          </c:cat>
          <c:val>
            <c:numRef>
              <c:f>企业收入!$I$2:$I$21</c:f>
              <c:numCache>
                <c:formatCode>0.0%</c:formatCode>
                <c:ptCount val="13"/>
                <c:pt idx="0">
                  <c:v>0.197451208271551</c:v>
                </c:pt>
                <c:pt idx="1">
                  <c:v>0.157255640604336</c:v>
                </c:pt>
                <c:pt idx="2">
                  <c:v>0.0979040596321084</c:v>
                </c:pt>
                <c:pt idx="3">
                  <c:v>0.111569751132128</c:v>
                </c:pt>
                <c:pt idx="4">
                  <c:v>0.0638667361305922</c:v>
                </c:pt>
                <c:pt idx="5">
                  <c:v>0.0497936119905422</c:v>
                </c:pt>
                <c:pt idx="6">
                  <c:v>0.0467278483549072</c:v>
                </c:pt>
                <c:pt idx="7">
                  <c:v>0.0415915254010874</c:v>
                </c:pt>
                <c:pt idx="8">
                  <c:v>0.0314591431891957</c:v>
                </c:pt>
                <c:pt idx="9">
                  <c:v>0.0214803831202661</c:v>
                </c:pt>
                <c:pt idx="10">
                  <c:v>0.0225557381210008</c:v>
                </c:pt>
                <c:pt idx="11">
                  <c:v>0.00601130124634312</c:v>
                </c:pt>
                <c:pt idx="12">
                  <c:v>0.0041544770835838</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7ae979cb-7dc9-41fc-ba51-0a93585be438}"/>
      </c:ext>
    </c:extLst>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分类!$S$2</c:f>
              <c:strCache>
                <c:ptCount val="1"/>
                <c:pt idx="0">
                  <c:v>主动型</c:v>
                </c:pt>
              </c:strCache>
            </c:strRef>
          </c:tx>
          <c:spPr>
            <a:solidFill>
              <a:srgbClr val="002060"/>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分类!$T$2:$AE$2</c:f>
              <c:numCache>
                <c:formatCode>0.0%</c:formatCode>
                <c:ptCount val="12"/>
                <c:pt idx="0">
                  <c:v>0.473002351838232</c:v>
                </c:pt>
                <c:pt idx="1">
                  <c:v>0.481409117821196</c:v>
                </c:pt>
                <c:pt idx="2">
                  <c:v>0.477791189302548</c:v>
                </c:pt>
                <c:pt idx="3">
                  <c:v>0.48699135482025</c:v>
                </c:pt>
                <c:pt idx="4">
                  <c:v>0.5045485512764</c:v>
                </c:pt>
                <c:pt idx="5">
                  <c:v>0.48635289060821</c:v>
                </c:pt>
                <c:pt idx="6">
                  <c:v>0.488616393294881</c:v>
                </c:pt>
                <c:pt idx="7">
                  <c:v>0.480448402630353</c:v>
                </c:pt>
                <c:pt idx="8">
                  <c:v>0.471067927911592</c:v>
                </c:pt>
                <c:pt idx="9">
                  <c:v>0.47348870497868</c:v>
                </c:pt>
                <c:pt idx="10">
                  <c:v>0.471876460143912</c:v>
                </c:pt>
                <c:pt idx="11">
                  <c:v>0.480337745526216</c:v>
                </c:pt>
              </c:numCache>
            </c:numRef>
          </c:val>
        </c:ser>
        <c:ser>
          <c:idx val="1"/>
          <c:order val="1"/>
          <c:tx>
            <c:strRef>
              <c:f>分类!$S$3</c:f>
              <c:strCache>
                <c:ptCount val="1"/>
                <c:pt idx="0">
                  <c:v>被动型</c:v>
                </c:pt>
              </c:strCache>
            </c:strRef>
          </c:tx>
          <c:spPr>
            <a:solidFill>
              <a:schemeClr val="bg1">
                <a:lumMod val="50000"/>
              </a:schemeClr>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分类!$T$3:$AE$3</c:f>
              <c:numCache>
                <c:formatCode>0.0%</c:formatCode>
                <c:ptCount val="12"/>
                <c:pt idx="0">
                  <c:v>0.267592315712057</c:v>
                </c:pt>
                <c:pt idx="1">
                  <c:v>0.252220248667851</c:v>
                </c:pt>
                <c:pt idx="2">
                  <c:v>0.245790541952973</c:v>
                </c:pt>
                <c:pt idx="3">
                  <c:v>0.230538126673343</c:v>
                </c:pt>
                <c:pt idx="4">
                  <c:v>0.211597803871278</c:v>
                </c:pt>
                <c:pt idx="5">
                  <c:v>0.218022166958337</c:v>
                </c:pt>
                <c:pt idx="6">
                  <c:v>0.207287536049027</c:v>
                </c:pt>
                <c:pt idx="7">
                  <c:v>0.205069124423963</c:v>
                </c:pt>
                <c:pt idx="8">
                  <c:v>0.200650770145164</c:v>
                </c:pt>
                <c:pt idx="9">
                  <c:v>0.190775480580224</c:v>
                </c:pt>
                <c:pt idx="10">
                  <c:v>0.186660125221942</c:v>
                </c:pt>
                <c:pt idx="11">
                  <c:v>0.178028623261439</c:v>
                </c:pt>
              </c:numCache>
            </c:numRef>
          </c:val>
        </c:ser>
        <c:ser>
          <c:idx val="2"/>
          <c:order val="2"/>
          <c:tx>
            <c:strRef>
              <c:f>分类!$S$4</c:f>
              <c:strCache>
                <c:ptCount val="1"/>
                <c:pt idx="0">
                  <c:v>组合型</c:v>
                </c:pt>
              </c:strCache>
            </c:strRef>
          </c:tx>
          <c:spPr>
            <a:solidFill>
              <a:srgbClr val="0070C0"/>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分类!$T$4:$AE$4</c:f>
              <c:numCache>
                <c:formatCode>0.0%</c:formatCode>
                <c:ptCount val="12"/>
                <c:pt idx="0">
                  <c:v>0.25940533244971</c:v>
                </c:pt>
                <c:pt idx="1">
                  <c:v>0.266370633510953</c:v>
                </c:pt>
                <c:pt idx="2">
                  <c:v>0.276418268744479</c:v>
                </c:pt>
                <c:pt idx="3">
                  <c:v>0.282470518506407</c:v>
                </c:pt>
                <c:pt idx="4">
                  <c:v>0.283853644852322</c:v>
                </c:pt>
                <c:pt idx="5">
                  <c:v>0.295624942433453</c:v>
                </c:pt>
                <c:pt idx="6">
                  <c:v>0.304096070656092</c:v>
                </c:pt>
                <c:pt idx="7">
                  <c:v>0.314482472945684</c:v>
                </c:pt>
                <c:pt idx="8">
                  <c:v>0.328281301943244</c:v>
                </c:pt>
                <c:pt idx="9">
                  <c:v>0.335735814441096</c:v>
                </c:pt>
                <c:pt idx="10">
                  <c:v>0.341463414634146</c:v>
                </c:pt>
                <c:pt idx="11">
                  <c:v>0.341633631212345</c:v>
                </c:pt>
              </c:numCache>
            </c:numRef>
          </c:val>
        </c:ser>
        <c:ser>
          <c:idx val="3"/>
          <c:order val="3"/>
          <c:tx>
            <c:strRef>
              <c:f>分类!$S$5</c:f>
              <c:strCache>
                <c:ptCount val="1"/>
                <c:pt idx="0">
                  <c:v>0</c:v>
                </c:pt>
              </c:strCache>
            </c:strRef>
          </c:tx>
          <c:spPr>
            <a:solidFill>
              <a:srgbClr val="FFC000"/>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分类!$T$5:$AE$5</c:f>
            </c:numRef>
          </c:val>
        </c:ser>
        <c:ser>
          <c:idx val="4"/>
          <c:order val="4"/>
          <c:tx>
            <c:strRef>
              <c:f>分类!$S$6</c:f>
              <c:strCache>
                <c:ptCount val="1"/>
                <c:pt idx="0">
                  <c:v>0</c:v>
                </c:pt>
              </c:strCache>
            </c:strRef>
          </c:tx>
          <c:spPr>
            <a:solidFill>
              <a:schemeClr val="tx1">
                <a:lumMod val="65000"/>
                <a:lumOff val="35000"/>
              </a:schemeClr>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分类!$T$6:$AE$6</c:f>
            </c:numRef>
          </c:val>
        </c:ser>
        <c:ser>
          <c:idx val="5"/>
          <c:order val="5"/>
          <c:tx>
            <c:strRef>
              <c:f>分类!$S$7</c:f>
              <c:strCache>
                <c:ptCount val="1"/>
                <c:pt idx="0">
                  <c:v>0</c:v>
                </c:pt>
              </c:strCache>
            </c:strRef>
          </c:tx>
          <c:spPr>
            <a:solidFill>
              <a:srgbClr val="C00000"/>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分类!$T$7:$AE$7</c:f>
            </c:numRef>
          </c:val>
        </c:ser>
        <c:ser>
          <c:idx val="6"/>
          <c:order val="6"/>
          <c:tx>
            <c:strRef>
              <c:f>分类!$S$8</c:f>
              <c:strCache>
                <c:ptCount val="1"/>
                <c:pt idx="0">
                  <c:v>0</c:v>
                </c:pt>
              </c:strCache>
            </c:strRef>
          </c:tx>
          <c:spPr>
            <a:solidFill>
              <a:srgbClr val="7030A0"/>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分类!$T$8:$AE$8</c:f>
            </c:numRef>
          </c:val>
        </c:ser>
        <c:ser>
          <c:idx val="7"/>
          <c:order val="7"/>
          <c:tx>
            <c:strRef>
              <c:f>分类!$S$9</c:f>
              <c:strCache>
                <c:ptCount val="1"/>
                <c:pt idx="0">
                  <c:v>0</c:v>
                </c:pt>
              </c:strCache>
            </c:strRef>
          </c:tx>
          <c:spPr>
            <a:solidFill>
              <a:schemeClr val="tx2">
                <a:lumMod val="60000"/>
                <a:lumOff val="40000"/>
              </a:schemeClr>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分类!$T$9:$AE$9</c:f>
            </c:numRef>
          </c:val>
        </c:ser>
        <c:ser>
          <c:idx val="8"/>
          <c:order val="8"/>
          <c:tx>
            <c:strRef>
              <c:f>分类!$S$10</c:f>
              <c:strCache>
                <c:ptCount val="1"/>
                <c:pt idx="0">
                  <c:v>0</c:v>
                </c:pt>
              </c:strCache>
            </c:strRef>
          </c:tx>
          <c:spPr>
            <a:solidFill>
              <a:schemeClr val="accent6">
                <a:lumMod val="75000"/>
              </a:schemeClr>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分类!$T$10:$AE$10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9990d01d-b826-4783-810e-35c635359075}"/>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应用!$B$2</c:f>
              <c:strCache>
                <c:ptCount val="1"/>
                <c:pt idx="0">
                  <c:v>排水量200吨以下潜艇</c:v>
                </c:pt>
              </c:strCache>
            </c:strRef>
          </c:tx>
          <c:spPr>
            <a:solidFill>
              <a:srgbClr val="002060"/>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应用!$C$2:$N$2</c:f>
              <c:numCache>
                <c:formatCode>#,##0_);[Red]\(#,##0\)</c:formatCode>
                <c:ptCount val="12"/>
                <c:pt idx="0">
                  <c:v>226.06</c:v>
                </c:pt>
                <c:pt idx="1">
                  <c:v>229.17</c:v>
                </c:pt>
                <c:pt idx="2">
                  <c:v>225.27</c:v>
                </c:pt>
                <c:pt idx="3">
                  <c:v>220.33</c:v>
                </c:pt>
                <c:pt idx="4">
                  <c:v>209.15</c:v>
                </c:pt>
                <c:pt idx="5">
                  <c:v>201.45</c:v>
                </c:pt>
                <c:pt idx="6">
                  <c:v>202.75</c:v>
                </c:pt>
                <c:pt idx="7">
                  <c:v>219.78</c:v>
                </c:pt>
                <c:pt idx="8">
                  <c:v>203.7</c:v>
                </c:pt>
                <c:pt idx="9">
                  <c:v>172.42</c:v>
                </c:pt>
                <c:pt idx="10">
                  <c:v>186.19</c:v>
                </c:pt>
                <c:pt idx="11">
                  <c:v>146.45</c:v>
                </c:pt>
              </c:numCache>
            </c:numRef>
          </c:val>
        </c:ser>
        <c:ser>
          <c:idx val="1"/>
          <c:order val="1"/>
          <c:tx>
            <c:strRef>
              <c:f>应用!$B$3</c:f>
              <c:strCache>
                <c:ptCount val="1"/>
                <c:pt idx="0">
                  <c:v>排水量2000-5000吨潜艇</c:v>
                </c:pt>
              </c:strCache>
            </c:strRef>
          </c:tx>
          <c:spPr>
            <a:solidFill>
              <a:schemeClr val="bg1">
                <a:lumMod val="50000"/>
              </a:schemeClr>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应用!$C$3:$N$3</c:f>
              <c:numCache>
                <c:formatCode>#,##0_);[Red]\(#,##0\)</c:formatCode>
                <c:ptCount val="12"/>
                <c:pt idx="0">
                  <c:v>624.11</c:v>
                </c:pt>
                <c:pt idx="1">
                  <c:v>680.46</c:v>
                </c:pt>
                <c:pt idx="2">
                  <c:v>753.05</c:v>
                </c:pt>
                <c:pt idx="3">
                  <c:v>741.86</c:v>
                </c:pt>
                <c:pt idx="4">
                  <c:v>755.78</c:v>
                </c:pt>
                <c:pt idx="5">
                  <c:v>835.77</c:v>
                </c:pt>
                <c:pt idx="6">
                  <c:v>920.52</c:v>
                </c:pt>
                <c:pt idx="7">
                  <c:v>993.85</c:v>
                </c:pt>
                <c:pt idx="8">
                  <c:v>1014.11</c:v>
                </c:pt>
                <c:pt idx="9">
                  <c:v>1031.31</c:v>
                </c:pt>
                <c:pt idx="10">
                  <c:v>1090.65</c:v>
                </c:pt>
                <c:pt idx="11">
                  <c:v>1158.86</c:v>
                </c:pt>
              </c:numCache>
            </c:numRef>
          </c:val>
        </c:ser>
        <c:ser>
          <c:idx val="2"/>
          <c:order val="2"/>
          <c:tx>
            <c:strRef>
              <c:f>应用!$B$4</c:f>
              <c:strCache>
                <c:ptCount val="1"/>
                <c:pt idx="0">
                  <c:v>排水量5000吨以上潜艇</c:v>
                </c:pt>
              </c:strCache>
            </c:strRef>
          </c:tx>
          <c:spPr>
            <a:solidFill>
              <a:schemeClr val="accent6">
                <a:lumMod val="75000"/>
              </a:schemeClr>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应用!$C$4:$N$4</c:f>
              <c:numCache>
                <c:formatCode>#,##0_);[Red]\(#,##0\)</c:formatCode>
                <c:ptCount val="12"/>
                <c:pt idx="0">
                  <c:v>387.16</c:v>
                </c:pt>
                <c:pt idx="1">
                  <c:v>441.57</c:v>
                </c:pt>
                <c:pt idx="2">
                  <c:v>504.65</c:v>
                </c:pt>
                <c:pt idx="3">
                  <c:v>505.68</c:v>
                </c:pt>
                <c:pt idx="4">
                  <c:v>532.25</c:v>
                </c:pt>
                <c:pt idx="5">
                  <c:v>591.33</c:v>
                </c:pt>
                <c:pt idx="6">
                  <c:v>652.09</c:v>
                </c:pt>
                <c:pt idx="7">
                  <c:v>717.67</c:v>
                </c:pt>
                <c:pt idx="8">
                  <c:v>767.53</c:v>
                </c:pt>
                <c:pt idx="9">
                  <c:v>780.33</c:v>
                </c:pt>
                <c:pt idx="10">
                  <c:v>863.36</c:v>
                </c:pt>
                <c:pt idx="11">
                  <c:v>927.14</c:v>
                </c:pt>
              </c:numCache>
            </c:numRef>
          </c:val>
        </c:ser>
        <c:ser>
          <c:idx val="3"/>
          <c:order val="3"/>
          <c:tx>
            <c:strRef>
              <c:f>应用!$B$5</c:f>
              <c:strCache>
                <c:ptCount val="1"/>
                <c:pt idx="0">
                  <c:v/>
                </c:pt>
              </c:strCache>
            </c:strRef>
          </c:tx>
          <c:spPr>
            <a:solidFill>
              <a:schemeClr val="tx2">
                <a:lumMod val="60000"/>
                <a:lumOff val="40000"/>
              </a:schemeClr>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应用!$C$5:$N$5</c:f>
            </c:numRef>
          </c:val>
        </c:ser>
        <c:ser>
          <c:idx val="4"/>
          <c:order val="4"/>
          <c:tx>
            <c:strRef>
              <c:f>应用!$B$6</c:f>
              <c:strCache>
                <c:ptCount val="1"/>
                <c:pt idx="0">
                  <c:v/>
                </c:pt>
              </c:strCache>
            </c:strRef>
          </c:tx>
          <c:spPr>
            <a:solidFill>
              <a:schemeClr val="accent1">
                <a:lumMod val="75000"/>
              </a:schemeClr>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应用!$C$6:$N$6</c:f>
            </c:numRef>
          </c:val>
        </c:ser>
        <c:ser>
          <c:idx val="5"/>
          <c:order val="5"/>
          <c:tx>
            <c:strRef>
              <c:f>应用!$B$7</c:f>
              <c:strCache>
                <c:ptCount val="1"/>
                <c:pt idx="0">
                  <c:v/>
                </c:pt>
              </c:strCache>
            </c:strRef>
          </c:tx>
          <c:spPr>
            <a:solidFill>
              <a:schemeClr val="accent4">
                <a:lumMod val="60000"/>
                <a:lumOff val="40000"/>
              </a:schemeClr>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应用!$C$7:$N$7</c:f>
            </c:numRef>
          </c:val>
        </c:ser>
        <c:ser>
          <c:idx val="6"/>
          <c:order val="6"/>
          <c:tx>
            <c:strRef>
              <c:f>应用!$B$8</c:f>
              <c:strCache>
                <c:ptCount val="1"/>
                <c:pt idx="0">
                  <c:v/>
                </c:pt>
              </c:strCache>
            </c:strRef>
          </c:tx>
          <c:spPr>
            <a:solidFill>
              <a:schemeClr val="accent2">
                <a:lumMod val="60000"/>
                <a:lumOff val="40000"/>
              </a:schemeClr>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应用!$C$8:$N$8</c:f>
            </c:numRef>
          </c:val>
        </c:ser>
        <c:ser>
          <c:idx val="7"/>
          <c:order val="7"/>
          <c:tx>
            <c:strRef>
              <c:f>应用!$B$9</c:f>
              <c:strCache>
                <c:ptCount val="1"/>
                <c:pt idx="0">
                  <c:v/>
                </c:pt>
              </c:strCache>
            </c:strRef>
          </c:tx>
          <c:spPr>
            <a:solidFill>
              <a:schemeClr val="bg2">
                <a:lumMod val="50000"/>
              </a:schemeClr>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应用!$C$9:$N$9</c:f>
            </c:numRef>
          </c:val>
        </c:ser>
        <c:ser>
          <c:idx val="8"/>
          <c:order val="8"/>
          <c:tx>
            <c:strRef>
              <c:f>应用!$B$10</c:f>
              <c:strCache>
                <c:ptCount val="1"/>
                <c:pt idx="0">
                  <c:v/>
                </c:pt>
              </c:strCache>
            </c:strRef>
          </c:tx>
          <c:spPr>
            <a:solidFill>
              <a:schemeClr val="accent5">
                <a:lumMod val="60000"/>
                <a:lumOff val="40000"/>
              </a:schemeClr>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应用!$C$10:$N$10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应用!$B$11</c:f>
              <c:strCache>
                <c:ptCount val="1"/>
                <c:pt idx="0">
                  <c:v>Total</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应用!$C$11:$N$11</c:f>
              <c:numCache>
                <c:formatCode>#,##0_);[Red]\(#,##0\)</c:formatCode>
                <c:ptCount val="12"/>
                <c:pt idx="0">
                  <c:v>1237.33</c:v>
                </c:pt>
                <c:pt idx="1">
                  <c:v>1351.2</c:v>
                </c:pt>
                <c:pt idx="2">
                  <c:v>1482.97</c:v>
                </c:pt>
                <c:pt idx="3">
                  <c:v>1467.87</c:v>
                </c:pt>
                <c:pt idx="4">
                  <c:v>1497.18</c:v>
                </c:pt>
                <c:pt idx="5">
                  <c:v>1628.55</c:v>
                </c:pt>
                <c:pt idx="6">
                  <c:v>1775.36</c:v>
                </c:pt>
                <c:pt idx="7">
                  <c:v>1931.3</c:v>
                </c:pt>
                <c:pt idx="8">
                  <c:v>1985.34</c:v>
                </c:pt>
                <c:pt idx="9">
                  <c:v>1984.06</c:v>
                </c:pt>
                <c:pt idx="10">
                  <c:v>2140.2</c:v>
                </c:pt>
                <c:pt idx="11">
                  <c:v>2232.45</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06de2887-33fd-48b6-a5b0-32867ad4da09}"/>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'地区-消费'!$B$2</c:f>
              <c:strCache>
                <c:ptCount val="1"/>
                <c:pt idx="0">
                  <c:v>北美</c:v>
                </c:pt>
              </c:strCache>
            </c:strRef>
          </c:tx>
          <c:spPr>
            <a:solidFill>
              <a:srgbClr val="002060"/>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'地区-消费'!$C$2:$N$2</c:f>
              <c:numCache>
                <c:formatCode>#,##0_);[Red]\(#,##0\)</c:formatCode>
                <c:ptCount val="12"/>
                <c:pt idx="0">
                  <c:v>296.99</c:v>
                </c:pt>
                <c:pt idx="1">
                  <c:v>358.35</c:v>
                </c:pt>
                <c:pt idx="2">
                  <c:v>346.63</c:v>
                </c:pt>
                <c:pt idx="3">
                  <c:v>377.68</c:v>
                </c:pt>
                <c:pt idx="4">
                  <c:v>408.79</c:v>
                </c:pt>
                <c:pt idx="5">
                  <c:v>449.6</c:v>
                </c:pt>
                <c:pt idx="6">
                  <c:v>469.2</c:v>
                </c:pt>
                <c:pt idx="7">
                  <c:v>545.27</c:v>
                </c:pt>
                <c:pt idx="8">
                  <c:v>549.79</c:v>
                </c:pt>
                <c:pt idx="9">
                  <c:v>502.59</c:v>
                </c:pt>
                <c:pt idx="10">
                  <c:v>567.79</c:v>
                </c:pt>
                <c:pt idx="11">
                  <c:v>586.85</c:v>
                </c:pt>
              </c:numCache>
            </c:numRef>
          </c:val>
        </c:ser>
        <c:ser>
          <c:idx val="1"/>
          <c:order val="1"/>
          <c:tx>
            <c:strRef>
              <c:f>'地区-消费'!$B$3</c:f>
              <c:strCache>
                <c:ptCount val="1"/>
                <c:pt idx="0">
                  <c:v>欧洲</c:v>
                </c:pt>
              </c:strCache>
            </c:strRef>
          </c:tx>
          <c:spPr>
            <a:solidFill>
              <a:schemeClr val="bg1">
                <a:lumMod val="50000"/>
              </a:schemeClr>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'地区-消费'!$C$3:$N$3</c:f>
              <c:numCache>
                <c:formatCode>#,##0_);[Red]\(#,##0\)</c:formatCode>
                <c:ptCount val="12"/>
                <c:pt idx="0">
                  <c:v>305.03</c:v>
                </c:pt>
                <c:pt idx="1">
                  <c:v>309.43</c:v>
                </c:pt>
                <c:pt idx="2">
                  <c:v>382.11</c:v>
                </c:pt>
                <c:pt idx="3">
                  <c:v>351.59</c:v>
                </c:pt>
                <c:pt idx="4">
                  <c:v>352.46</c:v>
                </c:pt>
                <c:pt idx="5">
                  <c:v>366.24</c:v>
                </c:pt>
                <c:pt idx="6">
                  <c:v>392.66</c:v>
                </c:pt>
                <c:pt idx="7">
                  <c:v>407.19</c:v>
                </c:pt>
                <c:pt idx="8">
                  <c:v>432.93</c:v>
                </c:pt>
                <c:pt idx="9">
                  <c:v>445.44</c:v>
                </c:pt>
                <c:pt idx="10">
                  <c:v>450.51</c:v>
                </c:pt>
                <c:pt idx="11">
                  <c:v>468.44</c:v>
                </c:pt>
              </c:numCache>
            </c:numRef>
          </c:val>
        </c:ser>
        <c:ser>
          <c:idx val="2"/>
          <c:order val="2"/>
          <c:tx>
            <c:strRef>
              <c:f>'地区-消费'!$B$4</c:f>
              <c:strCache>
                <c:ptCount val="1"/>
                <c:pt idx="0">
                  <c:v>亚太地区</c:v>
                </c:pt>
              </c:strCache>
            </c:strRef>
          </c:tx>
          <c:spPr>
            <a:solidFill>
              <a:srgbClr val="0070C0"/>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'地区-消费'!$C$4:$N$4</c:f>
              <c:numCache>
                <c:formatCode>#,##0_);[Red]\(#,##0\)</c:formatCode>
                <c:ptCount val="12"/>
                <c:pt idx="0">
                  <c:v>476.73</c:v>
                </c:pt>
                <c:pt idx="1">
                  <c:v>513.51</c:v>
                </c:pt>
                <c:pt idx="2">
                  <c:v>577.47</c:v>
                </c:pt>
                <c:pt idx="3">
                  <c:v>563.57</c:v>
                </c:pt>
                <c:pt idx="4">
                  <c:v>559.99</c:v>
                </c:pt>
                <c:pt idx="5">
                  <c:v>631.94</c:v>
                </c:pt>
                <c:pt idx="6">
                  <c:v>710.06</c:v>
                </c:pt>
                <c:pt idx="7">
                  <c:v>765.25</c:v>
                </c:pt>
                <c:pt idx="8">
                  <c:v>791.76</c:v>
                </c:pt>
                <c:pt idx="9">
                  <c:v>820.96</c:v>
                </c:pt>
                <c:pt idx="10">
                  <c:v>887.42</c:v>
                </c:pt>
                <c:pt idx="11">
                  <c:v>936.65</c:v>
                </c:pt>
              </c:numCache>
            </c:numRef>
          </c:val>
        </c:ser>
        <c:ser>
          <c:idx val="3"/>
          <c:order val="3"/>
          <c:tx>
            <c:strRef>
              <c:f>'地区-消费'!$B$5</c:f>
              <c:strCache>
                <c:ptCount val="1"/>
                <c:pt idx="0">
                  <c:v>拉美</c:v>
                </c:pt>
              </c:strCache>
            </c:strRef>
          </c:tx>
          <c:spPr>
            <a:solidFill>
              <a:srgbClr val="FFC000"/>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'地区-消费'!$C$5:$N$5</c:f>
              <c:numCache>
                <c:formatCode>#,##0_);[Red]\(#,##0\)</c:formatCode>
                <c:ptCount val="12"/>
                <c:pt idx="0">
                  <c:v>42.78</c:v>
                </c:pt>
                <c:pt idx="1">
                  <c:v>45.68</c:v>
                </c:pt>
                <c:pt idx="2">
                  <c:v>52.04</c:v>
                </c:pt>
                <c:pt idx="3">
                  <c:v>48.84</c:v>
                </c:pt>
                <c:pt idx="4">
                  <c:v>49.23</c:v>
                </c:pt>
                <c:pt idx="5">
                  <c:v>52.76</c:v>
                </c:pt>
                <c:pt idx="6">
                  <c:v>57.6</c:v>
                </c:pt>
                <c:pt idx="7">
                  <c:v>59.61</c:v>
                </c:pt>
                <c:pt idx="8">
                  <c:v>58.65</c:v>
                </c:pt>
                <c:pt idx="9">
                  <c:v>54.9</c:v>
                </c:pt>
                <c:pt idx="10">
                  <c:v>60.12</c:v>
                </c:pt>
                <c:pt idx="11">
                  <c:v>58.65</c:v>
                </c:pt>
              </c:numCache>
            </c:numRef>
          </c:val>
        </c:ser>
        <c:ser>
          <c:idx val="4"/>
          <c:order val="4"/>
          <c:tx>
            <c:strRef>
              <c:f>'地区-消费'!$B$6</c:f>
              <c:strCache>
                <c:ptCount val="1"/>
                <c:pt idx="0">
                  <c:v>中东和非洲</c:v>
                </c:pt>
              </c:strCache>
            </c:strRef>
          </c:tx>
          <c:spPr>
            <a:solidFill>
              <a:schemeClr val="tx1">
                <a:lumMod val="65000"/>
                <a:lumOff val="35000"/>
              </a:schemeClr>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'地区-消费'!$C$6:$N$6</c:f>
              <c:numCache>
                <c:formatCode>#,##0_);[Red]\(#,##0\)</c:formatCode>
                <c:ptCount val="12"/>
                <c:pt idx="0">
                  <c:v>115.8</c:v>
                </c:pt>
                <c:pt idx="1">
                  <c:v>124.23</c:v>
                </c:pt>
                <c:pt idx="2">
                  <c:v>124.72</c:v>
                </c:pt>
                <c:pt idx="3">
                  <c:v>126.19</c:v>
                </c:pt>
                <c:pt idx="4">
                  <c:v>126.71</c:v>
                </c:pt>
                <c:pt idx="5">
                  <c:v>128.01</c:v>
                </c:pt>
                <c:pt idx="6">
                  <c:v>145.84</c:v>
                </c:pt>
                <c:pt idx="7">
                  <c:v>153.98</c:v>
                </c:pt>
                <c:pt idx="8">
                  <c:v>152.21</c:v>
                </c:pt>
                <c:pt idx="9">
                  <c:v>160.17</c:v>
                </c:pt>
                <c:pt idx="10">
                  <c:v>174.36</c:v>
                </c:pt>
                <c:pt idx="11">
                  <c:v>181.86</c:v>
                </c:pt>
              </c:numCache>
            </c:numRef>
          </c:val>
        </c:ser>
        <c:ser>
          <c:idx val="5"/>
          <c:order val="5"/>
          <c:tx>
            <c:strRef>
              <c:f>'地区-消费'!$B$7</c:f>
              <c:strCache>
                <c:ptCount val="1"/>
                <c:pt idx="0">
                  <c:v/>
                </c:pt>
              </c:strCache>
            </c:strRef>
          </c:tx>
          <c:spPr>
            <a:solidFill>
              <a:srgbClr val="C00000"/>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'地区-消费'!$C$7:$N$7</c:f>
            </c:numRef>
          </c:val>
        </c:ser>
        <c:ser>
          <c:idx val="6"/>
          <c:order val="6"/>
          <c:tx>
            <c:strRef>
              <c:f>'地区-消费'!$B$8</c:f>
              <c:strCache>
                <c:ptCount val="1"/>
                <c:pt idx="0">
                  <c:v/>
                </c:pt>
              </c:strCache>
            </c:strRef>
          </c:tx>
          <c:spPr>
            <a:solidFill>
              <a:srgbClr val="7030A0"/>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'地区-消费'!$C$8:$N$8</c:f>
            </c:numRef>
          </c:val>
        </c:ser>
        <c:ser>
          <c:idx val="7"/>
          <c:order val="7"/>
          <c:tx>
            <c:strRef>
              <c:f>'地区-消费'!$B$9</c:f>
              <c:strCache>
                <c:ptCount val="1"/>
                <c:pt idx="0">
                  <c:v/>
                </c:pt>
              </c:strCache>
            </c:strRef>
          </c:tx>
          <c:spPr>
            <a:solidFill>
              <a:schemeClr val="tx2">
                <a:lumMod val="60000"/>
                <a:lumOff val="40000"/>
              </a:schemeClr>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'地区-消费'!$C$9:$N$9</c:f>
            </c:numRef>
          </c:val>
        </c:ser>
        <c:ser>
          <c:idx val="8"/>
          <c:order val="8"/>
          <c:tx>
            <c:strRef>
              <c:f>'地区-消费'!$B$10</c:f>
              <c:strCache>
                <c:ptCount val="1"/>
                <c:pt idx="0">
                  <c:v/>
                </c:pt>
              </c:strCache>
            </c:strRef>
          </c:tx>
          <c:spPr>
            <a:solidFill>
              <a:schemeClr val="accent6">
                <a:lumMod val="75000"/>
              </a:schemeClr>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'地区-消费'!$C$10:$N$10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629db777-e9bc-4501-a7ad-389f0f067d70}"/>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32FAF20-510C-43D3-A505-04C0A3245ACF}">
  <ds:schemaRefs/>
</ds:datastoreItem>
</file>

<file path=docProps/app.xml><?xml version="1.0" encoding="utf-8"?>
<Properties xmlns="http://schemas.openxmlformats.org/officeDocument/2006/extended-properties" xmlns:vt="http://schemas.openxmlformats.org/officeDocument/2006/docPropsVTypes">
  <Template>Normal</Template>
  <Pages>4</Pages>
  <Words>1442</Words>
  <Characters>1760</Characters>
  <Lines>12</Lines>
  <Paragraphs>3</Paragraphs>
  <TotalTime>1</TotalTime>
  <ScaleCrop>false</ScaleCrop>
  <LinksUpToDate>false</LinksUpToDate>
  <CharactersWithSpaces>1771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2025-09-30T07:17:00Z</dcterms:created>
  <dc:creator>yangj</dc:creator>
  <cp:lastModifiedBy>鼕鼕</cp:lastModifiedBy>
  <dcterms:modified xsi:type="dcterms:W3CDTF">2025-11-11T07:41:41Z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2052-12.1.0.23542</vt:lpwstr>
  </property>
  <property fmtid="{D5CDD505-2E9C-101B-9397-08002B2CF9AE}" pid="4" name="ICV">
    <vt:lpwstr>01C65FD5D3C445E28CEBC1B33782C420_12</vt:lpwstr>
  </property>
</Properties>
</file>